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631672">
      <w:pPr>
        <w:pStyle w:val="2"/>
        <w:numPr>
          <w:numId w:val="0"/>
        </w:numPr>
        <w:spacing w:before="0" w:after="0" w:line="560" w:lineRule="exact"/>
        <w:jc w:val="center"/>
        <w:rPr>
          <w:rFonts w:ascii="宋体" w:hAnsi="宋体" w:eastAsia="宋体" w:cs="宋体"/>
          <w:color w:val="auto"/>
          <w:sz w:val="28"/>
          <w:szCs w:val="28"/>
        </w:rPr>
      </w:pPr>
      <w:bookmarkStart w:id="0" w:name="_GoBack"/>
      <w:bookmarkEnd w:id="0"/>
      <w:r>
        <w:rPr>
          <w:rFonts w:hint="eastAsia" w:ascii="宋体" w:hAnsi="宋体" w:eastAsia="宋体" w:cs="宋体"/>
          <w:color w:val="auto"/>
          <w:sz w:val="28"/>
          <w:szCs w:val="28"/>
          <w:lang w:eastAsia="zh-CN"/>
        </w:rPr>
        <w:t>采购需求</w:t>
      </w:r>
    </w:p>
    <w:p w14:paraId="53EA44FF">
      <w:pPr>
        <w:rPr>
          <w:color w:val="auto"/>
        </w:rPr>
      </w:pPr>
    </w:p>
    <w:p w14:paraId="3EC5A8C7">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2026年市局本级财政预算涉及网售工业产品质量监管经费为10万元，拟采购1家具备资质的检验检测机构在全市范围内开展网售工业产品质量监督抽查，抽检任务共100批次。特别说明：</w:t>
      </w:r>
    </w:p>
    <w:p w14:paraId="04159913">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（一）</w:t>
      </w:r>
      <w:r>
        <w:rPr>
          <w:rFonts w:hint="eastAsia" w:ascii="宋体" w:hAnsi="宋体" w:eastAsia="宋体" w:cs="宋体"/>
          <w:color w:val="auto"/>
          <w:sz w:val="24"/>
          <w:szCs w:val="24"/>
        </w:rPr>
        <w:t>本采购需求中提出的服务方案仅为参考，如无明确限制，</w:t>
      </w:r>
      <w:r>
        <w:rPr>
          <w:rFonts w:hint="eastAsia" w:ascii="宋体" w:hAnsi="宋体" w:eastAsia="宋体" w:cs="宋体"/>
          <w:color w:val="auto"/>
          <w:sz w:val="24"/>
          <w:szCs w:val="24"/>
          <w:lang w:eastAsia="zh-CN"/>
        </w:rPr>
        <w:t>供应商</w:t>
      </w:r>
      <w:r>
        <w:rPr>
          <w:rFonts w:hint="eastAsia" w:ascii="宋体" w:hAnsi="宋体" w:eastAsia="宋体" w:cs="宋体"/>
          <w:color w:val="auto"/>
          <w:sz w:val="24"/>
          <w:szCs w:val="24"/>
        </w:rPr>
        <w:t>可以进行优化，提供满足采购人实际需要的更优（或者性能实质上不低于的）服务方案，且此方案须经磋商小组评审认可。</w:t>
      </w:r>
    </w:p>
    <w:p w14:paraId="473316D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（二）</w:t>
      </w:r>
      <w:r>
        <w:rPr>
          <w:rFonts w:hint="eastAsia" w:ascii="宋体" w:hAnsi="宋体" w:eastAsia="宋体" w:cs="宋体"/>
          <w:color w:val="auto"/>
          <w:sz w:val="24"/>
          <w:szCs w:val="24"/>
        </w:rPr>
        <w:t>成交供应商必须确保整体通过采购人及有关主管部门验收,所发生的验收费用由成交供应商承担；如供应商因未及时现场考察而导致的报价缺项漏项废标、或成交后无法完工，供应商自行承担一切后果。</w:t>
      </w:r>
    </w:p>
    <w:p w14:paraId="26BDC47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一、采购需求前附表</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8"/>
        <w:gridCol w:w="1795"/>
        <w:gridCol w:w="6696"/>
      </w:tblGrid>
      <w:tr w14:paraId="0068A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138" w:type="dxa"/>
            <w:noWrap w:val="0"/>
            <w:vAlign w:val="center"/>
          </w:tcPr>
          <w:p w14:paraId="00C9255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rPr>
              <w:t>序号</w:t>
            </w:r>
          </w:p>
        </w:tc>
        <w:tc>
          <w:tcPr>
            <w:tcW w:w="1795" w:type="dxa"/>
            <w:noWrap w:val="0"/>
            <w:vAlign w:val="center"/>
          </w:tcPr>
          <w:p w14:paraId="4370FBE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color w:val="auto"/>
                <w:kern w:val="0"/>
                <w:sz w:val="24"/>
                <w:szCs w:val="24"/>
              </w:rPr>
            </w:pPr>
            <w:r>
              <w:rPr>
                <w:rFonts w:hint="eastAsia" w:ascii="宋体" w:hAnsi="宋体" w:eastAsia="宋体" w:cs="宋体"/>
                <w:b/>
                <w:color w:val="auto"/>
                <w:kern w:val="0"/>
                <w:sz w:val="24"/>
                <w:szCs w:val="24"/>
              </w:rPr>
              <w:t>条款名称</w:t>
            </w:r>
          </w:p>
        </w:tc>
        <w:tc>
          <w:tcPr>
            <w:tcW w:w="6696" w:type="dxa"/>
            <w:noWrap w:val="0"/>
            <w:vAlign w:val="center"/>
          </w:tcPr>
          <w:p w14:paraId="085B670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color w:val="auto"/>
                <w:kern w:val="0"/>
                <w:sz w:val="24"/>
                <w:szCs w:val="24"/>
              </w:rPr>
            </w:pPr>
            <w:r>
              <w:rPr>
                <w:rFonts w:hint="eastAsia" w:ascii="宋体" w:hAnsi="宋体" w:eastAsia="宋体" w:cs="宋体"/>
                <w:b/>
                <w:color w:val="auto"/>
                <w:kern w:val="0"/>
                <w:sz w:val="24"/>
                <w:szCs w:val="24"/>
              </w:rPr>
              <w:t>内容、说明与要求</w:t>
            </w:r>
          </w:p>
        </w:tc>
      </w:tr>
      <w:tr w14:paraId="69408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138" w:type="dxa"/>
            <w:noWrap w:val="0"/>
            <w:vAlign w:val="center"/>
          </w:tcPr>
          <w:p w14:paraId="676C771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Cs/>
                <w:color w:val="auto"/>
                <w:sz w:val="24"/>
                <w:szCs w:val="24"/>
              </w:rPr>
            </w:pPr>
            <w:r>
              <w:rPr>
                <w:rFonts w:hint="eastAsia" w:ascii="宋体" w:hAnsi="宋体" w:eastAsia="宋体" w:cs="宋体"/>
                <w:bCs/>
                <w:color w:val="auto"/>
                <w:sz w:val="24"/>
                <w:szCs w:val="24"/>
              </w:rPr>
              <w:t>1</w:t>
            </w:r>
          </w:p>
        </w:tc>
        <w:tc>
          <w:tcPr>
            <w:tcW w:w="1795" w:type="dxa"/>
            <w:noWrap w:val="0"/>
            <w:vAlign w:val="center"/>
          </w:tcPr>
          <w:p w14:paraId="694F528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Cs/>
                <w:color w:val="auto"/>
                <w:kern w:val="0"/>
                <w:sz w:val="24"/>
                <w:szCs w:val="24"/>
              </w:rPr>
            </w:pPr>
            <w:r>
              <w:rPr>
                <w:rFonts w:hint="eastAsia" w:ascii="宋体" w:hAnsi="宋体" w:eastAsia="宋体" w:cs="宋体"/>
                <w:bCs/>
                <w:color w:val="auto"/>
                <w:kern w:val="0"/>
                <w:sz w:val="24"/>
                <w:szCs w:val="24"/>
              </w:rPr>
              <w:t>付款方式</w:t>
            </w:r>
          </w:p>
        </w:tc>
        <w:tc>
          <w:tcPr>
            <w:tcW w:w="6696" w:type="dxa"/>
            <w:noWrap w:val="0"/>
            <w:vAlign w:val="center"/>
          </w:tcPr>
          <w:p w14:paraId="76E69989">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宋体" w:hAnsi="宋体" w:eastAsia="宋体" w:cs="宋体"/>
                <w:bCs/>
                <w:color w:val="auto"/>
                <w:kern w:val="0"/>
                <w:sz w:val="24"/>
                <w:szCs w:val="24"/>
              </w:rPr>
            </w:pPr>
            <w:r>
              <w:rPr>
                <w:rFonts w:hint="eastAsia" w:ascii="宋体" w:hAnsi="宋体" w:eastAsia="宋体" w:cs="宋体"/>
                <w:bCs/>
                <w:color w:val="auto"/>
                <w:kern w:val="0"/>
                <w:sz w:val="24"/>
                <w:szCs w:val="24"/>
              </w:rPr>
              <w:t>合同签订后预付合同金额的</w:t>
            </w:r>
            <w:r>
              <w:rPr>
                <w:rFonts w:hint="eastAsia" w:ascii="宋体" w:hAnsi="宋体" w:eastAsia="宋体" w:cs="宋体"/>
                <w:bCs/>
                <w:color w:val="auto"/>
                <w:kern w:val="0"/>
                <w:sz w:val="24"/>
                <w:szCs w:val="24"/>
                <w:lang w:val="en-US" w:eastAsia="zh-CN"/>
              </w:rPr>
              <w:t>5</w:t>
            </w:r>
            <w:r>
              <w:rPr>
                <w:rFonts w:hint="eastAsia" w:ascii="宋体" w:hAnsi="宋体" w:eastAsia="宋体" w:cs="宋体"/>
                <w:bCs/>
                <w:color w:val="auto"/>
                <w:kern w:val="0"/>
                <w:sz w:val="24"/>
                <w:szCs w:val="24"/>
              </w:rPr>
              <w:t>0%，服务完成后一次性付清。</w:t>
            </w:r>
          </w:p>
        </w:tc>
      </w:tr>
      <w:tr w14:paraId="46B17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138" w:type="dxa"/>
            <w:noWrap w:val="0"/>
            <w:vAlign w:val="center"/>
          </w:tcPr>
          <w:p w14:paraId="01CDAA1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Cs/>
                <w:color w:val="auto"/>
                <w:sz w:val="24"/>
                <w:szCs w:val="24"/>
              </w:rPr>
            </w:pPr>
            <w:r>
              <w:rPr>
                <w:rFonts w:hint="eastAsia" w:ascii="宋体" w:hAnsi="宋体" w:eastAsia="宋体" w:cs="宋体"/>
                <w:bCs/>
                <w:color w:val="auto"/>
                <w:sz w:val="24"/>
                <w:szCs w:val="24"/>
              </w:rPr>
              <w:t>2</w:t>
            </w:r>
          </w:p>
        </w:tc>
        <w:tc>
          <w:tcPr>
            <w:tcW w:w="1795" w:type="dxa"/>
            <w:noWrap w:val="0"/>
            <w:vAlign w:val="center"/>
          </w:tcPr>
          <w:p w14:paraId="03302E0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Cs/>
                <w:color w:val="auto"/>
                <w:kern w:val="0"/>
                <w:sz w:val="24"/>
                <w:szCs w:val="24"/>
              </w:rPr>
            </w:pPr>
            <w:r>
              <w:rPr>
                <w:rFonts w:hint="eastAsia" w:ascii="宋体" w:hAnsi="宋体" w:eastAsia="宋体" w:cs="宋体"/>
                <w:bCs/>
                <w:color w:val="auto"/>
                <w:kern w:val="0"/>
                <w:sz w:val="24"/>
                <w:szCs w:val="24"/>
              </w:rPr>
              <w:t>服务地点</w:t>
            </w:r>
          </w:p>
        </w:tc>
        <w:tc>
          <w:tcPr>
            <w:tcW w:w="6696" w:type="dxa"/>
            <w:noWrap w:val="0"/>
            <w:vAlign w:val="center"/>
          </w:tcPr>
          <w:p w14:paraId="2ECE677D">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宋体" w:hAnsi="宋体" w:eastAsia="宋体" w:cs="宋体"/>
                <w:bCs/>
                <w:color w:val="auto"/>
                <w:kern w:val="0"/>
                <w:sz w:val="24"/>
                <w:szCs w:val="24"/>
                <w:lang w:val="en-US" w:eastAsia="zh-CN"/>
              </w:rPr>
            </w:pPr>
            <w:r>
              <w:rPr>
                <w:rFonts w:hint="eastAsia" w:ascii="宋体" w:hAnsi="宋体" w:eastAsia="宋体" w:cs="宋体"/>
                <w:bCs/>
                <w:color w:val="auto"/>
                <w:kern w:val="0"/>
                <w:sz w:val="24"/>
                <w:szCs w:val="24"/>
              </w:rPr>
              <w:t>六安市</w:t>
            </w:r>
            <w:r>
              <w:rPr>
                <w:rFonts w:hint="eastAsia" w:ascii="宋体" w:hAnsi="宋体" w:eastAsia="宋体" w:cs="宋体"/>
                <w:bCs/>
                <w:color w:val="auto"/>
                <w:kern w:val="0"/>
                <w:sz w:val="24"/>
                <w:szCs w:val="24"/>
                <w:lang w:eastAsia="zh-CN"/>
              </w:rPr>
              <w:t>辖</w:t>
            </w:r>
            <w:r>
              <w:rPr>
                <w:rFonts w:hint="eastAsia" w:ascii="宋体" w:hAnsi="宋体" w:eastAsia="宋体" w:cs="宋体"/>
                <w:bCs/>
                <w:color w:val="auto"/>
                <w:kern w:val="0"/>
                <w:sz w:val="24"/>
                <w:szCs w:val="24"/>
              </w:rPr>
              <w:t>县（区），采购人指定地点。</w:t>
            </w:r>
          </w:p>
        </w:tc>
      </w:tr>
      <w:tr w14:paraId="605DC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138" w:type="dxa"/>
            <w:noWrap w:val="0"/>
            <w:vAlign w:val="center"/>
          </w:tcPr>
          <w:p w14:paraId="3AA0FF9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Cs/>
                <w:color w:val="auto"/>
                <w:sz w:val="24"/>
                <w:szCs w:val="24"/>
              </w:rPr>
            </w:pPr>
            <w:r>
              <w:rPr>
                <w:rFonts w:hint="eastAsia" w:ascii="宋体" w:hAnsi="宋体" w:eastAsia="宋体" w:cs="宋体"/>
                <w:bCs/>
                <w:color w:val="auto"/>
                <w:sz w:val="24"/>
                <w:szCs w:val="24"/>
              </w:rPr>
              <w:t>3</w:t>
            </w:r>
          </w:p>
        </w:tc>
        <w:tc>
          <w:tcPr>
            <w:tcW w:w="1795" w:type="dxa"/>
            <w:noWrap w:val="0"/>
            <w:vAlign w:val="center"/>
          </w:tcPr>
          <w:p w14:paraId="1430F0F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Cs/>
                <w:color w:val="auto"/>
                <w:kern w:val="0"/>
                <w:sz w:val="24"/>
                <w:szCs w:val="24"/>
              </w:rPr>
            </w:pPr>
            <w:r>
              <w:rPr>
                <w:rFonts w:hint="eastAsia" w:ascii="宋体" w:hAnsi="宋体" w:eastAsia="宋体" w:cs="宋体"/>
                <w:bCs/>
                <w:color w:val="auto"/>
                <w:kern w:val="0"/>
                <w:sz w:val="24"/>
                <w:szCs w:val="24"/>
              </w:rPr>
              <w:t>服务期限</w:t>
            </w:r>
          </w:p>
        </w:tc>
        <w:tc>
          <w:tcPr>
            <w:tcW w:w="6696" w:type="dxa"/>
            <w:noWrap w:val="0"/>
            <w:vAlign w:val="center"/>
          </w:tcPr>
          <w:p w14:paraId="5068E66D">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宋体" w:hAnsi="宋体" w:eastAsia="宋体" w:cs="宋体"/>
                <w:bCs/>
                <w:color w:val="auto"/>
                <w:kern w:val="0"/>
                <w:sz w:val="24"/>
                <w:szCs w:val="24"/>
                <w:lang w:val="en-US" w:eastAsia="zh-CN"/>
              </w:rPr>
            </w:pPr>
            <w:r>
              <w:rPr>
                <w:rFonts w:hint="eastAsia" w:ascii="宋体" w:hAnsi="宋体" w:eastAsia="宋体" w:cs="宋体"/>
                <w:bCs/>
                <w:color w:val="auto"/>
                <w:kern w:val="0"/>
                <w:sz w:val="24"/>
                <w:szCs w:val="24"/>
                <w:lang w:val="en-US" w:eastAsia="zh-CN"/>
              </w:rPr>
              <w:t>合同签订后90天内完成全部服务内容</w:t>
            </w:r>
            <w:r>
              <w:rPr>
                <w:rFonts w:hint="eastAsia" w:ascii="宋体" w:hAnsi="宋体" w:eastAsia="宋体" w:cs="宋体"/>
                <w:bCs/>
                <w:color w:val="auto"/>
                <w:kern w:val="0"/>
                <w:sz w:val="24"/>
                <w:szCs w:val="24"/>
              </w:rPr>
              <w:t>。</w:t>
            </w:r>
          </w:p>
        </w:tc>
      </w:tr>
    </w:tbl>
    <w:p w14:paraId="49FF4CA5">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二、项目概况</w:t>
      </w:r>
    </w:p>
    <w:p w14:paraId="43FA0468">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为加强产品质量安全监管，根据2026年市级网售工业产品质量监督抽查计划，委托第三方专业机构作为监督抽查的承检机构，公正、独立地对六安市生产、销售企业的产品开展监督抽查，抽查时间自2026年9月至11月，抽查地点覆盖本市各县区。</w:t>
      </w:r>
    </w:p>
    <w:p w14:paraId="7ECD0B7B">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三、服务需求</w:t>
      </w:r>
    </w:p>
    <w:p w14:paraId="05FEAE09">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（一）严格按照相关法律、法规，恪守独立、客观、公平、公正的原则，履行必要的执业规范和程序。</w:t>
      </w:r>
    </w:p>
    <w:p w14:paraId="273386B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（二）服从采购单位统一指挥和安排，公正、独立地按照《中华人民共和国产品质量法》、《产品质量监督抽查管理暂行办法》等要求开展抽样检验，按时保质保量地完成任务。</w:t>
      </w:r>
    </w:p>
    <w:p w14:paraId="67EC6FEB">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（三）成交供应商应为本项目成立专项项目组，项目组不少于2人，明确项目负责人和项目组成员，进场服务前提供相关人员配备情况清单等基本信息供采购人核实。</w:t>
      </w:r>
    </w:p>
    <w:p w14:paraId="3592B438">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（四）成交供应商应为本项目制定具体的实施方案，抽样检验完成后，形成完整的检查结果汇总报告，报至市局产品质量监管科。</w:t>
      </w:r>
    </w:p>
    <w:p w14:paraId="5922736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（五）所做的工作及服务过程中形成的其他资料应如实反映有关情况，做到事实准确、结论清楚，并出具检查结果。未经同意，不得对外泄露检查的任何信息。</w:t>
      </w:r>
    </w:p>
    <w:p w14:paraId="2833D33B">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（六）项目自2026年9月开始至2026年11月下旬完成，检查的原始材料和书面结果在任务完成期限内交至六安市市场监督管理局。</w:t>
      </w:r>
    </w:p>
    <w:p w14:paraId="4380BE33">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（七）产品质量监督抽查细则见附件。</w:t>
      </w:r>
    </w:p>
    <w:p w14:paraId="736E4EDC">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四、报价要求</w:t>
      </w:r>
    </w:p>
    <w:p w14:paraId="052B57F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报价中应包括完成本合同的成本、利润、税费、劳保、价差、设备进出场费、购样费、检测费、各种措施费、保险、政策性文件规定及合同包含的所有风险、责任等各项应有全部费用。</w:t>
      </w:r>
    </w:p>
    <w:p w14:paraId="30AAF27D">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五、其他要求</w:t>
      </w:r>
    </w:p>
    <w:p w14:paraId="53C4152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（一）成交供应商必须严格按照采购文件、响应文件及有关承诺签订采购合同，不得擅自变更。合同执行期内，双方均不得随意变更或解除合同。</w:t>
      </w:r>
    </w:p>
    <w:p w14:paraId="3B486BD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（二）验收方法：由市场监管局对成交供应商提交的汇总报告进行评议。</w:t>
      </w:r>
    </w:p>
    <w:p w14:paraId="2C27471E">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（三）合同执行期间，如遇不可抗力，致使合同无法履行时，按有关法律规定及时协商处理。</w:t>
      </w:r>
    </w:p>
    <w:p w14:paraId="1FC726A7">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六、项目情况</w:t>
      </w:r>
    </w:p>
    <w:tbl>
      <w:tblPr>
        <w:tblStyle w:val="3"/>
        <w:tblW w:w="96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1684"/>
        <w:gridCol w:w="2088"/>
        <w:gridCol w:w="4788"/>
        <w:gridCol w:w="1117"/>
      </w:tblGrid>
      <w:tr w14:paraId="4B167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37" w:hRule="atLeast"/>
          <w:tblHeader/>
          <w:jc w:val="center"/>
        </w:trPr>
        <w:tc>
          <w:tcPr>
            <w:tcW w:w="1684" w:type="dxa"/>
            <w:noWrap w:val="0"/>
            <w:vAlign w:val="center"/>
          </w:tcPr>
          <w:p w14:paraId="7FACFFE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i w:val="0"/>
                <w:color w:val="auto"/>
                <w:kern w:val="0"/>
                <w:sz w:val="24"/>
                <w:szCs w:val="24"/>
                <w:u w:val="none"/>
                <w:lang w:val="en-US" w:eastAsia="zh-CN" w:bidi="ar"/>
              </w:rPr>
            </w:pPr>
            <w:r>
              <w:rPr>
                <w:rFonts w:hint="eastAsia" w:ascii="宋体" w:hAnsi="宋体" w:eastAsia="宋体" w:cs="宋体"/>
                <w:b/>
                <w:i w:val="0"/>
                <w:color w:val="auto"/>
                <w:kern w:val="0"/>
                <w:sz w:val="24"/>
                <w:szCs w:val="24"/>
                <w:u w:val="none"/>
                <w:lang w:val="en-US" w:eastAsia="zh-CN" w:bidi="ar"/>
              </w:rPr>
              <w:t>产品大类</w:t>
            </w:r>
          </w:p>
        </w:tc>
        <w:tc>
          <w:tcPr>
            <w:tcW w:w="2088" w:type="dxa"/>
            <w:noWrap w:val="0"/>
            <w:vAlign w:val="center"/>
          </w:tcPr>
          <w:p w14:paraId="5E29C35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i w:val="0"/>
                <w:color w:val="auto"/>
                <w:sz w:val="24"/>
                <w:szCs w:val="24"/>
                <w:u w:val="none"/>
              </w:rPr>
            </w:pPr>
            <w:r>
              <w:rPr>
                <w:rFonts w:hint="eastAsia" w:ascii="宋体" w:hAnsi="宋体" w:eastAsia="宋体" w:cs="宋体"/>
                <w:b/>
                <w:i w:val="0"/>
                <w:color w:val="auto"/>
                <w:kern w:val="0"/>
                <w:sz w:val="24"/>
                <w:szCs w:val="24"/>
                <w:u w:val="none"/>
                <w:lang w:val="en-US" w:eastAsia="zh-CN" w:bidi="ar"/>
              </w:rPr>
              <w:t>产品名称</w:t>
            </w:r>
          </w:p>
        </w:tc>
        <w:tc>
          <w:tcPr>
            <w:tcW w:w="4788" w:type="dxa"/>
            <w:noWrap w:val="0"/>
            <w:vAlign w:val="center"/>
          </w:tcPr>
          <w:p w14:paraId="6DFCC5C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i w:val="0"/>
                <w:color w:val="auto"/>
                <w:sz w:val="24"/>
                <w:szCs w:val="24"/>
                <w:u w:val="none"/>
              </w:rPr>
            </w:pPr>
            <w:r>
              <w:rPr>
                <w:rFonts w:hint="eastAsia" w:ascii="宋体" w:hAnsi="宋体" w:eastAsia="宋体" w:cs="宋体"/>
                <w:b/>
                <w:i w:val="0"/>
                <w:color w:val="auto"/>
                <w:kern w:val="0"/>
                <w:sz w:val="24"/>
                <w:szCs w:val="24"/>
                <w:u w:val="none"/>
                <w:lang w:val="en-US" w:eastAsia="zh-CN" w:bidi="ar"/>
              </w:rPr>
              <w:t>检验指标</w:t>
            </w:r>
          </w:p>
        </w:tc>
        <w:tc>
          <w:tcPr>
            <w:tcW w:w="1117" w:type="dxa"/>
            <w:noWrap w:val="0"/>
            <w:vAlign w:val="center"/>
          </w:tcPr>
          <w:p w14:paraId="3A9C0D0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i w:val="0"/>
                <w:color w:val="auto"/>
                <w:sz w:val="24"/>
                <w:szCs w:val="24"/>
                <w:u w:val="none"/>
              </w:rPr>
            </w:pPr>
            <w:r>
              <w:rPr>
                <w:rFonts w:hint="eastAsia" w:ascii="宋体" w:hAnsi="宋体" w:eastAsia="宋体" w:cs="宋体"/>
                <w:b/>
                <w:i w:val="0"/>
                <w:color w:val="auto"/>
                <w:kern w:val="0"/>
                <w:sz w:val="24"/>
                <w:szCs w:val="24"/>
                <w:u w:val="none"/>
                <w:lang w:val="en-US" w:eastAsia="zh-CN" w:bidi="ar"/>
              </w:rPr>
              <w:t>抽查组数</w:t>
            </w:r>
          </w:p>
        </w:tc>
      </w:tr>
      <w:tr w14:paraId="62972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37" w:hRule="atLeast"/>
          <w:tblHeader/>
          <w:jc w:val="center"/>
        </w:trPr>
        <w:tc>
          <w:tcPr>
            <w:tcW w:w="1684" w:type="dxa"/>
            <w:noWrap w:val="0"/>
            <w:vAlign w:val="center"/>
          </w:tcPr>
          <w:p w14:paraId="45A0B2F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电动自行车</w:t>
            </w:r>
          </w:p>
        </w:tc>
        <w:tc>
          <w:tcPr>
            <w:tcW w:w="2088" w:type="dxa"/>
            <w:noWrap w:val="0"/>
            <w:vAlign w:val="center"/>
          </w:tcPr>
          <w:p w14:paraId="517F3C0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电动自行车</w:t>
            </w:r>
          </w:p>
        </w:tc>
        <w:tc>
          <w:tcPr>
            <w:tcW w:w="4788" w:type="dxa"/>
            <w:noWrap w:val="0"/>
            <w:vAlign w:val="center"/>
          </w:tcPr>
          <w:p w14:paraId="6947C6C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车速限值、制动性能(干态)、整车质量、尺寸限值、结构、车速提示音</w:t>
            </w:r>
          </w:p>
        </w:tc>
        <w:tc>
          <w:tcPr>
            <w:tcW w:w="1117" w:type="dxa"/>
            <w:noWrap w:val="0"/>
            <w:vAlign w:val="center"/>
          </w:tcPr>
          <w:p w14:paraId="3E8A724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t>2</w:t>
            </w:r>
          </w:p>
        </w:tc>
      </w:tr>
      <w:tr w14:paraId="3857D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37" w:hRule="atLeast"/>
          <w:tblHeader/>
          <w:jc w:val="center"/>
        </w:trPr>
        <w:tc>
          <w:tcPr>
            <w:tcW w:w="1684" w:type="dxa"/>
            <w:vMerge w:val="restart"/>
            <w:noWrap w:val="0"/>
            <w:vAlign w:val="center"/>
          </w:tcPr>
          <w:p w14:paraId="62478CA5">
            <w:pPr>
              <w:keepNext w:val="0"/>
              <w:keepLines w:val="0"/>
              <w:pageBreakBefore w:val="0"/>
              <w:widowControl/>
              <w:suppressLineNumbers w:val="0"/>
              <w:kinsoku/>
              <w:wordWrap/>
              <w:overflowPunct/>
              <w:topLinePunct w:val="0"/>
              <w:autoSpaceDE/>
              <w:autoSpaceDN/>
              <w:bidi w:val="0"/>
              <w:adjustRightInd/>
              <w:snapToGrid/>
              <w:spacing w:line="370" w:lineRule="exact"/>
              <w:jc w:val="center"/>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汽车相关产品</w:t>
            </w:r>
          </w:p>
        </w:tc>
        <w:tc>
          <w:tcPr>
            <w:tcW w:w="2088" w:type="dxa"/>
            <w:noWrap w:val="0"/>
            <w:vAlign w:val="center"/>
          </w:tcPr>
          <w:p w14:paraId="61144157">
            <w:pPr>
              <w:keepNext w:val="0"/>
              <w:keepLines w:val="0"/>
              <w:pageBreakBefore w:val="0"/>
              <w:widowControl/>
              <w:suppressLineNumbers w:val="0"/>
              <w:kinsoku/>
              <w:wordWrap/>
              <w:overflowPunct/>
              <w:topLinePunct w:val="0"/>
              <w:autoSpaceDE/>
              <w:autoSpaceDN/>
              <w:bidi w:val="0"/>
              <w:adjustRightInd/>
              <w:snapToGrid/>
              <w:spacing w:line="370" w:lineRule="exact"/>
              <w:jc w:val="center"/>
              <w:textAlignment w:val="cente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汽车用制动器衬片</w:t>
            </w:r>
          </w:p>
        </w:tc>
        <w:tc>
          <w:tcPr>
            <w:tcW w:w="4788" w:type="dxa"/>
            <w:noWrap w:val="0"/>
            <w:vAlign w:val="center"/>
          </w:tcPr>
          <w:p w14:paraId="186EDD4C">
            <w:pPr>
              <w:keepNext w:val="0"/>
              <w:keepLines w:val="0"/>
              <w:pageBreakBefore w:val="0"/>
              <w:widowControl/>
              <w:suppressLineNumbers w:val="0"/>
              <w:kinsoku/>
              <w:wordWrap/>
              <w:overflowPunct/>
              <w:topLinePunct w:val="0"/>
              <w:autoSpaceDE/>
              <w:autoSpaceDN/>
              <w:bidi w:val="0"/>
              <w:adjustRightInd/>
              <w:snapToGrid/>
              <w:spacing w:line="370" w:lineRule="exact"/>
              <w:jc w:val="left"/>
              <w:textAlignment w:val="cente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t>六价铬、汞、铅、镉、外观、标识</w:t>
            </w:r>
          </w:p>
        </w:tc>
        <w:tc>
          <w:tcPr>
            <w:tcW w:w="1117" w:type="dxa"/>
            <w:vMerge w:val="restart"/>
            <w:noWrap w:val="0"/>
            <w:vAlign w:val="center"/>
          </w:tcPr>
          <w:p w14:paraId="274FB0F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t>4</w:t>
            </w:r>
          </w:p>
        </w:tc>
      </w:tr>
      <w:tr w14:paraId="25D93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37" w:hRule="atLeast"/>
          <w:tblHeader/>
          <w:jc w:val="center"/>
        </w:trPr>
        <w:tc>
          <w:tcPr>
            <w:tcW w:w="1684" w:type="dxa"/>
            <w:vMerge w:val="continue"/>
            <w:noWrap w:val="0"/>
            <w:vAlign w:val="center"/>
          </w:tcPr>
          <w:p w14:paraId="154931A0">
            <w:pPr>
              <w:keepNext w:val="0"/>
              <w:keepLines w:val="0"/>
              <w:pageBreakBefore w:val="0"/>
              <w:widowControl/>
              <w:suppressLineNumbers w:val="0"/>
              <w:kinsoku/>
              <w:wordWrap/>
              <w:overflowPunct/>
              <w:topLinePunct w:val="0"/>
              <w:autoSpaceDE/>
              <w:autoSpaceDN/>
              <w:bidi w:val="0"/>
              <w:adjustRightInd/>
              <w:snapToGrid/>
              <w:spacing w:line="370" w:lineRule="exact"/>
              <w:jc w:val="center"/>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p>
        </w:tc>
        <w:tc>
          <w:tcPr>
            <w:tcW w:w="2088" w:type="dxa"/>
            <w:noWrap w:val="0"/>
            <w:vAlign w:val="center"/>
          </w:tcPr>
          <w:p w14:paraId="146B6B2C">
            <w:pPr>
              <w:keepNext w:val="0"/>
              <w:keepLines w:val="0"/>
              <w:pageBreakBefore w:val="0"/>
              <w:widowControl/>
              <w:suppressLineNumbers w:val="0"/>
              <w:kinsoku/>
              <w:wordWrap/>
              <w:overflowPunct/>
              <w:topLinePunct w:val="0"/>
              <w:autoSpaceDE/>
              <w:autoSpaceDN/>
              <w:bidi w:val="0"/>
              <w:adjustRightInd/>
              <w:snapToGrid/>
              <w:spacing w:line="370" w:lineRule="exact"/>
              <w:jc w:val="center"/>
              <w:textAlignment w:val="cente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制动软管</w:t>
            </w:r>
          </w:p>
        </w:tc>
        <w:tc>
          <w:tcPr>
            <w:tcW w:w="4788" w:type="dxa"/>
            <w:noWrap w:val="0"/>
            <w:vAlign w:val="center"/>
          </w:tcPr>
          <w:p w14:paraId="16D8D496">
            <w:pPr>
              <w:keepNext w:val="0"/>
              <w:keepLines w:val="0"/>
              <w:pageBreakBefore w:val="0"/>
              <w:widowControl/>
              <w:suppressLineNumbers w:val="0"/>
              <w:kinsoku/>
              <w:wordWrap/>
              <w:overflowPunct/>
              <w:topLinePunct w:val="0"/>
              <w:autoSpaceDE/>
              <w:autoSpaceDN/>
              <w:bidi w:val="0"/>
              <w:adjustRightInd/>
              <w:snapToGrid/>
              <w:spacing w:line="370" w:lineRule="exact"/>
              <w:jc w:val="left"/>
              <w:textAlignment w:val="cente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t>接头的耐腐蚀性、粘合强度、耐3#标准油体积变化率、耐寒性、耐弯曲性外径变化量、耐水后抗拉强度、耐热性、耐燃料性、吸水性、抗拉强度</w:t>
            </w:r>
          </w:p>
        </w:tc>
        <w:tc>
          <w:tcPr>
            <w:tcW w:w="1117" w:type="dxa"/>
            <w:vMerge w:val="continue"/>
            <w:noWrap w:val="0"/>
            <w:vAlign w:val="center"/>
          </w:tcPr>
          <w:p w14:paraId="6EFC6A5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pPr>
          </w:p>
        </w:tc>
      </w:tr>
      <w:tr w14:paraId="64763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37" w:hRule="atLeast"/>
          <w:tblHeader/>
          <w:jc w:val="center"/>
        </w:trPr>
        <w:tc>
          <w:tcPr>
            <w:tcW w:w="1684" w:type="dxa"/>
            <w:noWrap w:val="0"/>
            <w:vAlign w:val="center"/>
          </w:tcPr>
          <w:p w14:paraId="02ABD513">
            <w:pPr>
              <w:keepNext w:val="0"/>
              <w:keepLines w:val="0"/>
              <w:pageBreakBefore w:val="0"/>
              <w:widowControl/>
              <w:suppressLineNumbers w:val="0"/>
              <w:kinsoku/>
              <w:wordWrap/>
              <w:overflowPunct/>
              <w:topLinePunct w:val="0"/>
              <w:autoSpaceDE/>
              <w:autoSpaceDN/>
              <w:bidi w:val="0"/>
              <w:adjustRightInd/>
              <w:snapToGrid/>
              <w:spacing w:line="370" w:lineRule="exact"/>
              <w:jc w:val="center"/>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绝缘产品</w:t>
            </w:r>
          </w:p>
        </w:tc>
        <w:tc>
          <w:tcPr>
            <w:tcW w:w="2088" w:type="dxa"/>
            <w:noWrap w:val="0"/>
            <w:vAlign w:val="center"/>
          </w:tcPr>
          <w:p w14:paraId="7BDCF14E">
            <w:pPr>
              <w:keepNext w:val="0"/>
              <w:keepLines w:val="0"/>
              <w:pageBreakBefore w:val="0"/>
              <w:widowControl/>
              <w:suppressLineNumbers w:val="0"/>
              <w:kinsoku/>
              <w:wordWrap/>
              <w:overflowPunct/>
              <w:topLinePunct w:val="0"/>
              <w:autoSpaceDE/>
              <w:autoSpaceDN/>
              <w:bidi w:val="0"/>
              <w:adjustRightInd/>
              <w:snapToGrid/>
              <w:spacing w:line="370" w:lineRule="exact"/>
              <w:jc w:val="center"/>
              <w:textAlignment w:val="cente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带电作业用绝缘手套</w:t>
            </w:r>
          </w:p>
        </w:tc>
        <w:tc>
          <w:tcPr>
            <w:tcW w:w="4788" w:type="dxa"/>
            <w:noWrap w:val="0"/>
            <w:vAlign w:val="center"/>
          </w:tcPr>
          <w:p w14:paraId="7E5B6559">
            <w:pPr>
              <w:keepNext w:val="0"/>
              <w:keepLines w:val="0"/>
              <w:pageBreakBefore w:val="0"/>
              <w:widowControl/>
              <w:suppressLineNumbers w:val="0"/>
              <w:kinsoku/>
              <w:wordWrap/>
              <w:overflowPunct/>
              <w:topLinePunct w:val="0"/>
              <w:autoSpaceDE/>
              <w:autoSpaceDN/>
              <w:bidi w:val="0"/>
              <w:adjustRightInd/>
              <w:snapToGrid/>
              <w:spacing w:line="370" w:lineRule="exact"/>
              <w:jc w:val="left"/>
              <w:textAlignment w:val="cente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t>拉伸强度、拉伸永久变形、耐磨试验、厚度、扯断伸长率、抗撕裂试验、抗机械刺穿试验</w:t>
            </w:r>
          </w:p>
        </w:tc>
        <w:tc>
          <w:tcPr>
            <w:tcW w:w="1117" w:type="dxa"/>
            <w:noWrap w:val="0"/>
            <w:vAlign w:val="center"/>
          </w:tcPr>
          <w:p w14:paraId="6372B27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t>2</w:t>
            </w:r>
          </w:p>
        </w:tc>
      </w:tr>
      <w:tr w14:paraId="0B446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37" w:hRule="atLeast"/>
          <w:tblHeader/>
          <w:jc w:val="center"/>
        </w:trPr>
        <w:tc>
          <w:tcPr>
            <w:tcW w:w="1684" w:type="dxa"/>
            <w:vMerge w:val="restart"/>
            <w:noWrap w:val="0"/>
            <w:vAlign w:val="center"/>
          </w:tcPr>
          <w:p w14:paraId="585DBB4F">
            <w:pPr>
              <w:keepNext w:val="0"/>
              <w:keepLines w:val="0"/>
              <w:pageBreakBefore w:val="0"/>
              <w:widowControl/>
              <w:suppressLineNumbers w:val="0"/>
              <w:kinsoku/>
              <w:wordWrap/>
              <w:overflowPunct/>
              <w:topLinePunct w:val="0"/>
              <w:autoSpaceDE/>
              <w:autoSpaceDN/>
              <w:bidi w:val="0"/>
              <w:adjustRightInd/>
              <w:snapToGrid/>
              <w:spacing w:line="370" w:lineRule="exact"/>
              <w:jc w:val="center"/>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消防产品</w:t>
            </w:r>
          </w:p>
        </w:tc>
        <w:tc>
          <w:tcPr>
            <w:tcW w:w="2088" w:type="dxa"/>
            <w:noWrap w:val="0"/>
            <w:vAlign w:val="center"/>
          </w:tcPr>
          <w:p w14:paraId="2541D9DE">
            <w:pPr>
              <w:keepNext w:val="0"/>
              <w:keepLines w:val="0"/>
              <w:pageBreakBefore w:val="0"/>
              <w:widowControl/>
              <w:suppressLineNumbers w:val="0"/>
              <w:kinsoku/>
              <w:wordWrap/>
              <w:overflowPunct/>
              <w:topLinePunct w:val="0"/>
              <w:autoSpaceDE/>
              <w:autoSpaceDN/>
              <w:bidi w:val="0"/>
              <w:adjustRightInd/>
              <w:snapToGrid/>
              <w:spacing w:line="370" w:lineRule="exact"/>
              <w:jc w:val="center"/>
              <w:textAlignment w:val="cente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手提式灭火器</w:t>
            </w:r>
          </w:p>
        </w:tc>
        <w:tc>
          <w:tcPr>
            <w:tcW w:w="4788" w:type="dxa"/>
            <w:noWrap w:val="0"/>
            <w:vAlign w:val="center"/>
          </w:tcPr>
          <w:p w14:paraId="020512E1">
            <w:pPr>
              <w:keepNext w:val="0"/>
              <w:keepLines w:val="0"/>
              <w:pageBreakBefore w:val="0"/>
              <w:widowControl/>
              <w:suppressLineNumbers w:val="0"/>
              <w:kinsoku/>
              <w:wordWrap/>
              <w:overflowPunct/>
              <w:topLinePunct w:val="0"/>
              <w:autoSpaceDE/>
              <w:autoSpaceDN/>
              <w:bidi w:val="0"/>
              <w:adjustRightInd/>
              <w:snapToGrid/>
              <w:spacing w:line="370" w:lineRule="exact"/>
              <w:jc w:val="left"/>
              <w:textAlignment w:val="cente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t>20℃时喷射性能、充装量、重装误差、瓶体（爆破性能）、灭火剂（干粉灭火剂）（第一主要组分含量）</w:t>
            </w:r>
          </w:p>
        </w:tc>
        <w:tc>
          <w:tcPr>
            <w:tcW w:w="1117" w:type="dxa"/>
            <w:noWrap w:val="0"/>
            <w:vAlign w:val="center"/>
          </w:tcPr>
          <w:p w14:paraId="2C438F4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t>1</w:t>
            </w:r>
          </w:p>
        </w:tc>
      </w:tr>
      <w:tr w14:paraId="47E66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37" w:hRule="atLeast"/>
          <w:tblHeader/>
          <w:jc w:val="center"/>
        </w:trPr>
        <w:tc>
          <w:tcPr>
            <w:tcW w:w="1684" w:type="dxa"/>
            <w:vMerge w:val="continue"/>
            <w:noWrap w:val="0"/>
            <w:vAlign w:val="center"/>
          </w:tcPr>
          <w:p w14:paraId="4410DB33">
            <w:pPr>
              <w:keepNext w:val="0"/>
              <w:keepLines w:val="0"/>
              <w:pageBreakBefore w:val="0"/>
              <w:widowControl/>
              <w:suppressLineNumbers w:val="0"/>
              <w:kinsoku/>
              <w:wordWrap/>
              <w:overflowPunct/>
              <w:topLinePunct w:val="0"/>
              <w:autoSpaceDE/>
              <w:autoSpaceDN/>
              <w:bidi w:val="0"/>
              <w:adjustRightInd/>
              <w:snapToGrid/>
              <w:spacing w:line="370" w:lineRule="exact"/>
              <w:jc w:val="center"/>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p>
        </w:tc>
        <w:tc>
          <w:tcPr>
            <w:tcW w:w="2088" w:type="dxa"/>
            <w:noWrap w:val="0"/>
            <w:vAlign w:val="center"/>
          </w:tcPr>
          <w:p w14:paraId="1863B2DE">
            <w:pPr>
              <w:keepNext w:val="0"/>
              <w:keepLines w:val="0"/>
              <w:pageBreakBefore w:val="0"/>
              <w:widowControl/>
              <w:suppressLineNumbers w:val="0"/>
              <w:kinsoku/>
              <w:wordWrap/>
              <w:overflowPunct/>
              <w:topLinePunct w:val="0"/>
              <w:autoSpaceDE/>
              <w:autoSpaceDN/>
              <w:bidi w:val="0"/>
              <w:adjustRightInd/>
              <w:snapToGrid/>
              <w:spacing w:line="370" w:lineRule="exact"/>
              <w:jc w:val="center"/>
              <w:textAlignment w:val="cente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消防水枪</w:t>
            </w:r>
          </w:p>
        </w:tc>
        <w:tc>
          <w:tcPr>
            <w:tcW w:w="4788" w:type="dxa"/>
            <w:noWrap w:val="0"/>
            <w:vAlign w:val="center"/>
          </w:tcPr>
          <w:p w14:paraId="33E83DEA">
            <w:pPr>
              <w:keepNext w:val="0"/>
              <w:keepLines w:val="0"/>
              <w:pageBreakBefore w:val="0"/>
              <w:widowControl/>
              <w:suppressLineNumbers w:val="0"/>
              <w:kinsoku/>
              <w:wordWrap/>
              <w:overflowPunct/>
              <w:topLinePunct w:val="0"/>
              <w:autoSpaceDE/>
              <w:autoSpaceDN/>
              <w:bidi w:val="0"/>
              <w:adjustRightInd/>
              <w:snapToGrid/>
              <w:spacing w:line="370" w:lineRule="exact"/>
              <w:jc w:val="left"/>
              <w:textAlignment w:val="cente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t>表面质量，密封性能，耐水压强度，螺纹，抗跌落性能，接口性能，耐腐蚀性能</w:t>
            </w:r>
          </w:p>
        </w:tc>
        <w:tc>
          <w:tcPr>
            <w:tcW w:w="1117" w:type="dxa"/>
            <w:noWrap w:val="0"/>
            <w:vAlign w:val="center"/>
          </w:tcPr>
          <w:p w14:paraId="4FE1C7B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t>1</w:t>
            </w:r>
          </w:p>
        </w:tc>
      </w:tr>
      <w:tr w14:paraId="325D8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37" w:hRule="atLeast"/>
          <w:tblHeader/>
          <w:jc w:val="center"/>
        </w:trPr>
        <w:tc>
          <w:tcPr>
            <w:tcW w:w="1684" w:type="dxa"/>
            <w:vMerge w:val="continue"/>
            <w:noWrap w:val="0"/>
            <w:vAlign w:val="center"/>
          </w:tcPr>
          <w:p w14:paraId="398E1B02">
            <w:pPr>
              <w:keepNext w:val="0"/>
              <w:keepLines w:val="0"/>
              <w:pageBreakBefore w:val="0"/>
              <w:widowControl/>
              <w:suppressLineNumbers w:val="0"/>
              <w:kinsoku/>
              <w:wordWrap/>
              <w:overflowPunct/>
              <w:topLinePunct w:val="0"/>
              <w:autoSpaceDE/>
              <w:autoSpaceDN/>
              <w:bidi w:val="0"/>
              <w:adjustRightInd/>
              <w:snapToGrid/>
              <w:spacing w:line="370" w:lineRule="exact"/>
              <w:jc w:val="center"/>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p>
        </w:tc>
        <w:tc>
          <w:tcPr>
            <w:tcW w:w="2088" w:type="dxa"/>
            <w:noWrap w:val="0"/>
            <w:vAlign w:val="center"/>
          </w:tcPr>
          <w:p w14:paraId="165F98B6">
            <w:pPr>
              <w:keepNext w:val="0"/>
              <w:keepLines w:val="0"/>
              <w:pageBreakBefore w:val="0"/>
              <w:widowControl/>
              <w:suppressLineNumbers w:val="0"/>
              <w:kinsoku/>
              <w:wordWrap/>
              <w:overflowPunct/>
              <w:topLinePunct w:val="0"/>
              <w:autoSpaceDE/>
              <w:autoSpaceDN/>
              <w:bidi w:val="0"/>
              <w:adjustRightInd/>
              <w:snapToGrid/>
              <w:spacing w:line="370" w:lineRule="exact"/>
              <w:jc w:val="center"/>
              <w:textAlignment w:val="cente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消防水带</w:t>
            </w:r>
          </w:p>
        </w:tc>
        <w:tc>
          <w:tcPr>
            <w:tcW w:w="4788" w:type="dxa"/>
            <w:noWrap w:val="0"/>
            <w:vAlign w:val="center"/>
          </w:tcPr>
          <w:p w14:paraId="5F2A6626">
            <w:pPr>
              <w:keepNext w:val="0"/>
              <w:keepLines w:val="0"/>
              <w:pageBreakBefore w:val="0"/>
              <w:widowControl/>
              <w:suppressLineNumbers w:val="0"/>
              <w:kinsoku/>
              <w:wordWrap/>
              <w:overflowPunct/>
              <w:topLinePunct w:val="0"/>
              <w:autoSpaceDE/>
              <w:autoSpaceDN/>
              <w:bidi w:val="0"/>
              <w:adjustRightInd/>
              <w:snapToGrid/>
              <w:spacing w:line="370" w:lineRule="exact"/>
              <w:jc w:val="left"/>
              <w:textAlignment w:val="cente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t>外观质量、内径、长度、单位长度质量、设计工作压力/试验压力及最小爆破压力、附着强度</w:t>
            </w:r>
          </w:p>
        </w:tc>
        <w:tc>
          <w:tcPr>
            <w:tcW w:w="1117" w:type="dxa"/>
            <w:noWrap w:val="0"/>
            <w:vAlign w:val="center"/>
          </w:tcPr>
          <w:p w14:paraId="6E21BD7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t>1</w:t>
            </w:r>
          </w:p>
        </w:tc>
      </w:tr>
      <w:tr w14:paraId="1426E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37" w:hRule="atLeast"/>
          <w:tblHeader/>
          <w:jc w:val="center"/>
        </w:trPr>
        <w:tc>
          <w:tcPr>
            <w:tcW w:w="1684" w:type="dxa"/>
            <w:vMerge w:val="continue"/>
            <w:noWrap w:val="0"/>
            <w:vAlign w:val="center"/>
          </w:tcPr>
          <w:p w14:paraId="74FCB11E">
            <w:pPr>
              <w:keepNext w:val="0"/>
              <w:keepLines w:val="0"/>
              <w:pageBreakBefore w:val="0"/>
              <w:widowControl/>
              <w:suppressLineNumbers w:val="0"/>
              <w:kinsoku/>
              <w:wordWrap/>
              <w:overflowPunct/>
              <w:topLinePunct w:val="0"/>
              <w:autoSpaceDE/>
              <w:autoSpaceDN/>
              <w:bidi w:val="0"/>
              <w:adjustRightInd/>
              <w:snapToGrid/>
              <w:spacing w:line="370" w:lineRule="exact"/>
              <w:jc w:val="center"/>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p>
        </w:tc>
        <w:tc>
          <w:tcPr>
            <w:tcW w:w="2088" w:type="dxa"/>
            <w:noWrap w:val="0"/>
            <w:vAlign w:val="center"/>
          </w:tcPr>
          <w:p w14:paraId="504B16CF">
            <w:pPr>
              <w:keepNext w:val="0"/>
              <w:keepLines w:val="0"/>
              <w:pageBreakBefore w:val="0"/>
              <w:widowControl/>
              <w:suppressLineNumbers w:val="0"/>
              <w:kinsoku/>
              <w:wordWrap/>
              <w:overflowPunct/>
              <w:topLinePunct w:val="0"/>
              <w:autoSpaceDE/>
              <w:autoSpaceDN/>
              <w:bidi w:val="0"/>
              <w:adjustRightInd/>
              <w:snapToGrid/>
              <w:spacing w:line="370" w:lineRule="exact"/>
              <w:jc w:val="center"/>
              <w:textAlignment w:val="cente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消防接口</w:t>
            </w:r>
          </w:p>
        </w:tc>
        <w:tc>
          <w:tcPr>
            <w:tcW w:w="4788" w:type="dxa"/>
            <w:noWrap w:val="0"/>
            <w:vAlign w:val="center"/>
          </w:tcPr>
          <w:p w14:paraId="40B96ED1">
            <w:pPr>
              <w:keepNext w:val="0"/>
              <w:keepLines w:val="0"/>
              <w:pageBreakBefore w:val="0"/>
              <w:widowControl/>
              <w:suppressLineNumbers w:val="0"/>
              <w:kinsoku/>
              <w:wordWrap/>
              <w:overflowPunct/>
              <w:topLinePunct w:val="0"/>
              <w:autoSpaceDE/>
              <w:autoSpaceDN/>
              <w:bidi w:val="0"/>
              <w:adjustRightInd/>
              <w:snapToGrid/>
              <w:spacing w:line="370" w:lineRule="exact"/>
              <w:jc w:val="left"/>
              <w:textAlignment w:val="cente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t>基本尺寸、外观质量、密封性能、抗跌落性能、标志、水压性能、耐腐蚀性能</w:t>
            </w:r>
          </w:p>
        </w:tc>
        <w:tc>
          <w:tcPr>
            <w:tcW w:w="1117" w:type="dxa"/>
            <w:noWrap w:val="0"/>
            <w:vAlign w:val="center"/>
          </w:tcPr>
          <w:p w14:paraId="3D66447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t>1</w:t>
            </w:r>
          </w:p>
        </w:tc>
      </w:tr>
      <w:tr w14:paraId="04E45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261" w:hRule="atLeast"/>
          <w:tblHeader/>
          <w:jc w:val="center"/>
        </w:trPr>
        <w:tc>
          <w:tcPr>
            <w:tcW w:w="1684" w:type="dxa"/>
            <w:vMerge w:val="continue"/>
            <w:noWrap w:val="0"/>
            <w:vAlign w:val="center"/>
          </w:tcPr>
          <w:p w14:paraId="7A7F42D5">
            <w:pPr>
              <w:keepNext w:val="0"/>
              <w:keepLines w:val="0"/>
              <w:pageBreakBefore w:val="0"/>
              <w:widowControl/>
              <w:suppressLineNumbers w:val="0"/>
              <w:kinsoku/>
              <w:wordWrap/>
              <w:overflowPunct/>
              <w:topLinePunct w:val="0"/>
              <w:autoSpaceDE/>
              <w:autoSpaceDN/>
              <w:bidi w:val="0"/>
              <w:adjustRightInd/>
              <w:snapToGrid/>
              <w:spacing w:line="370" w:lineRule="exact"/>
              <w:jc w:val="center"/>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p>
        </w:tc>
        <w:tc>
          <w:tcPr>
            <w:tcW w:w="2088" w:type="dxa"/>
            <w:noWrap w:val="0"/>
            <w:vAlign w:val="center"/>
          </w:tcPr>
          <w:p w14:paraId="40BA12D0">
            <w:pPr>
              <w:keepNext w:val="0"/>
              <w:keepLines w:val="0"/>
              <w:pageBreakBefore w:val="0"/>
              <w:widowControl/>
              <w:suppressLineNumbers w:val="0"/>
              <w:kinsoku/>
              <w:wordWrap/>
              <w:overflowPunct/>
              <w:topLinePunct w:val="0"/>
              <w:autoSpaceDE/>
              <w:autoSpaceDN/>
              <w:bidi w:val="0"/>
              <w:adjustRightInd/>
              <w:snapToGrid/>
              <w:spacing w:line="370" w:lineRule="exact"/>
              <w:jc w:val="center"/>
              <w:textAlignment w:val="cente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室内消火栓</w:t>
            </w:r>
          </w:p>
        </w:tc>
        <w:tc>
          <w:tcPr>
            <w:tcW w:w="4788" w:type="dxa"/>
            <w:noWrap w:val="0"/>
            <w:vAlign w:val="center"/>
          </w:tcPr>
          <w:p w14:paraId="76295234">
            <w:pPr>
              <w:keepNext w:val="0"/>
              <w:keepLines w:val="0"/>
              <w:pageBreakBefore w:val="0"/>
              <w:widowControl/>
              <w:suppressLineNumbers w:val="0"/>
              <w:kinsoku/>
              <w:wordWrap/>
              <w:overflowPunct/>
              <w:topLinePunct w:val="0"/>
              <w:autoSpaceDE/>
              <w:autoSpaceDN/>
              <w:bidi w:val="0"/>
              <w:adjustRightInd/>
              <w:snapToGrid/>
              <w:spacing w:line="370" w:lineRule="exact"/>
              <w:jc w:val="left"/>
              <w:textAlignment w:val="cente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t>基本尺寸与公差（关闭后高度、出水口中心高度、阀杆中心距接口外沿距离）、外观质量、密封性能、开启高度、旋转性能、水压强度、阀杆升降性能</w:t>
            </w:r>
          </w:p>
        </w:tc>
        <w:tc>
          <w:tcPr>
            <w:tcW w:w="1117" w:type="dxa"/>
            <w:noWrap w:val="0"/>
            <w:vAlign w:val="center"/>
          </w:tcPr>
          <w:p w14:paraId="6D09CC0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t>1</w:t>
            </w:r>
          </w:p>
        </w:tc>
      </w:tr>
      <w:tr w14:paraId="3FEB8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37" w:hRule="atLeast"/>
          <w:tblHeader/>
          <w:jc w:val="center"/>
        </w:trPr>
        <w:tc>
          <w:tcPr>
            <w:tcW w:w="1684" w:type="dxa"/>
            <w:vMerge w:val="continue"/>
            <w:noWrap w:val="0"/>
            <w:vAlign w:val="center"/>
          </w:tcPr>
          <w:p w14:paraId="013DD660">
            <w:pPr>
              <w:keepNext w:val="0"/>
              <w:keepLines w:val="0"/>
              <w:pageBreakBefore w:val="0"/>
              <w:widowControl/>
              <w:suppressLineNumbers w:val="0"/>
              <w:kinsoku/>
              <w:wordWrap/>
              <w:overflowPunct/>
              <w:topLinePunct w:val="0"/>
              <w:autoSpaceDE/>
              <w:autoSpaceDN/>
              <w:bidi w:val="0"/>
              <w:adjustRightInd/>
              <w:snapToGrid/>
              <w:spacing w:line="370" w:lineRule="exact"/>
              <w:jc w:val="center"/>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p>
        </w:tc>
        <w:tc>
          <w:tcPr>
            <w:tcW w:w="2088" w:type="dxa"/>
            <w:noWrap w:val="0"/>
            <w:vAlign w:val="center"/>
          </w:tcPr>
          <w:p w14:paraId="26A7385C">
            <w:pPr>
              <w:keepNext w:val="0"/>
              <w:keepLines w:val="0"/>
              <w:pageBreakBefore w:val="0"/>
              <w:widowControl/>
              <w:suppressLineNumbers w:val="0"/>
              <w:kinsoku/>
              <w:wordWrap/>
              <w:overflowPunct/>
              <w:topLinePunct w:val="0"/>
              <w:autoSpaceDE/>
              <w:autoSpaceDN/>
              <w:bidi w:val="0"/>
              <w:adjustRightInd/>
              <w:snapToGrid/>
              <w:spacing w:line="370" w:lineRule="exact"/>
              <w:jc w:val="center"/>
              <w:textAlignment w:val="cente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消防应急照明和疏散指示系统</w:t>
            </w:r>
          </w:p>
        </w:tc>
        <w:tc>
          <w:tcPr>
            <w:tcW w:w="4788" w:type="dxa"/>
            <w:noWrap w:val="0"/>
            <w:vAlign w:val="center"/>
          </w:tcPr>
          <w:p w14:paraId="58054913">
            <w:pPr>
              <w:keepNext w:val="0"/>
              <w:keepLines w:val="0"/>
              <w:pageBreakBefore w:val="0"/>
              <w:widowControl/>
              <w:suppressLineNumbers w:val="0"/>
              <w:kinsoku/>
              <w:wordWrap/>
              <w:overflowPunct/>
              <w:topLinePunct w:val="0"/>
              <w:autoSpaceDE/>
              <w:autoSpaceDN/>
              <w:bidi w:val="0"/>
              <w:adjustRightInd/>
              <w:snapToGrid/>
              <w:spacing w:line="370" w:lineRule="exact"/>
              <w:jc w:val="left"/>
              <w:textAlignment w:val="cente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t>外壳防护等级试验、重复转换试验、电压波动试验、转换电压试验、绝缘电阻试验、接地电阻试验、电气强度试验</w:t>
            </w:r>
          </w:p>
        </w:tc>
        <w:tc>
          <w:tcPr>
            <w:tcW w:w="1117" w:type="dxa"/>
            <w:noWrap w:val="0"/>
            <w:vAlign w:val="center"/>
          </w:tcPr>
          <w:p w14:paraId="783A9E1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2</w:t>
            </w:r>
          </w:p>
        </w:tc>
      </w:tr>
      <w:tr w14:paraId="2B0D9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25" w:hRule="atLeast"/>
          <w:tblHeader/>
          <w:jc w:val="center"/>
        </w:trPr>
        <w:tc>
          <w:tcPr>
            <w:tcW w:w="1684" w:type="dxa"/>
            <w:vMerge w:val="restart"/>
            <w:noWrap w:val="0"/>
            <w:vAlign w:val="center"/>
          </w:tcPr>
          <w:p w14:paraId="7FF1C972">
            <w:pPr>
              <w:keepNext w:val="0"/>
              <w:keepLines w:val="0"/>
              <w:pageBreakBefore w:val="0"/>
              <w:widowControl/>
              <w:suppressLineNumbers w:val="0"/>
              <w:kinsoku/>
              <w:wordWrap/>
              <w:overflowPunct/>
              <w:topLinePunct w:val="0"/>
              <w:autoSpaceDE/>
              <w:autoSpaceDN/>
              <w:bidi w:val="0"/>
              <w:adjustRightInd/>
              <w:snapToGrid/>
              <w:spacing w:line="370" w:lineRule="exact"/>
              <w:jc w:val="center"/>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纺织品</w:t>
            </w:r>
          </w:p>
        </w:tc>
        <w:tc>
          <w:tcPr>
            <w:tcW w:w="2088" w:type="dxa"/>
            <w:noWrap w:val="0"/>
            <w:vAlign w:val="center"/>
          </w:tcPr>
          <w:p w14:paraId="1CFF9C76">
            <w:pPr>
              <w:keepNext w:val="0"/>
              <w:keepLines w:val="0"/>
              <w:pageBreakBefore w:val="0"/>
              <w:widowControl/>
              <w:suppressLineNumbers w:val="0"/>
              <w:kinsoku/>
              <w:wordWrap/>
              <w:overflowPunct/>
              <w:topLinePunct w:val="0"/>
              <w:autoSpaceDE/>
              <w:autoSpaceDN/>
              <w:bidi w:val="0"/>
              <w:adjustRightInd/>
              <w:snapToGrid/>
              <w:spacing w:line="370" w:lineRule="exact"/>
              <w:jc w:val="center"/>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婴幼儿及儿童纺织产品</w:t>
            </w:r>
          </w:p>
        </w:tc>
        <w:tc>
          <w:tcPr>
            <w:tcW w:w="4788" w:type="dxa"/>
            <w:noWrap w:val="0"/>
            <w:vAlign w:val="center"/>
          </w:tcPr>
          <w:p w14:paraId="6FD45524">
            <w:pPr>
              <w:keepNext w:val="0"/>
              <w:keepLines w:val="0"/>
              <w:pageBreakBefore w:val="0"/>
              <w:widowControl/>
              <w:suppressLineNumbers w:val="0"/>
              <w:kinsoku/>
              <w:wordWrap/>
              <w:overflowPunct/>
              <w:topLinePunct w:val="0"/>
              <w:autoSpaceDE/>
              <w:autoSpaceDN/>
              <w:bidi w:val="0"/>
              <w:adjustRightInd/>
              <w:snapToGrid/>
              <w:spacing w:line="370" w:lineRule="exact"/>
              <w:jc w:val="left"/>
              <w:textAlignment w:val="cente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t>甲醛含量、pH值、耐水色牢度、耐酸汗渍色牢度、耐碱汗渍色牢度、耐干摩擦色牢度、纤维含量</w:t>
            </w:r>
          </w:p>
        </w:tc>
        <w:tc>
          <w:tcPr>
            <w:tcW w:w="1117" w:type="dxa"/>
            <w:noWrap w:val="0"/>
            <w:vAlign w:val="center"/>
          </w:tcPr>
          <w:p w14:paraId="75A9E71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3</w:t>
            </w:r>
          </w:p>
        </w:tc>
      </w:tr>
      <w:tr w14:paraId="73E97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37" w:hRule="atLeast"/>
          <w:tblHeader/>
          <w:jc w:val="center"/>
        </w:trPr>
        <w:tc>
          <w:tcPr>
            <w:tcW w:w="1684" w:type="dxa"/>
            <w:vMerge w:val="continue"/>
            <w:noWrap w:val="0"/>
            <w:vAlign w:val="center"/>
          </w:tcPr>
          <w:p w14:paraId="0E11503F">
            <w:pPr>
              <w:keepNext w:val="0"/>
              <w:keepLines w:val="0"/>
              <w:pageBreakBefore w:val="0"/>
              <w:widowControl/>
              <w:suppressLineNumbers w:val="0"/>
              <w:kinsoku/>
              <w:wordWrap/>
              <w:overflowPunct/>
              <w:topLinePunct w:val="0"/>
              <w:autoSpaceDE/>
              <w:autoSpaceDN/>
              <w:bidi w:val="0"/>
              <w:adjustRightInd/>
              <w:snapToGrid/>
              <w:spacing w:line="370" w:lineRule="exact"/>
              <w:jc w:val="center"/>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p>
        </w:tc>
        <w:tc>
          <w:tcPr>
            <w:tcW w:w="2088" w:type="dxa"/>
            <w:noWrap w:val="0"/>
            <w:vAlign w:val="center"/>
          </w:tcPr>
          <w:p w14:paraId="1F027CC1">
            <w:pPr>
              <w:keepNext w:val="0"/>
              <w:keepLines w:val="0"/>
              <w:pageBreakBefore w:val="0"/>
              <w:widowControl/>
              <w:suppressLineNumbers w:val="0"/>
              <w:kinsoku/>
              <w:wordWrap/>
              <w:overflowPunct/>
              <w:topLinePunct w:val="0"/>
              <w:autoSpaceDE/>
              <w:autoSpaceDN/>
              <w:bidi w:val="0"/>
              <w:adjustRightInd/>
              <w:snapToGrid/>
              <w:spacing w:line="370" w:lineRule="exact"/>
              <w:jc w:val="center"/>
              <w:textAlignment w:val="cente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t>针织保暖内衣</w:t>
            </w:r>
          </w:p>
        </w:tc>
        <w:tc>
          <w:tcPr>
            <w:tcW w:w="4788" w:type="dxa"/>
            <w:noWrap w:val="0"/>
            <w:vAlign w:val="center"/>
          </w:tcPr>
          <w:p w14:paraId="37CFD41A">
            <w:pPr>
              <w:keepNext w:val="0"/>
              <w:keepLines w:val="0"/>
              <w:pageBreakBefore w:val="0"/>
              <w:widowControl/>
              <w:suppressLineNumbers w:val="0"/>
              <w:kinsoku/>
              <w:wordWrap/>
              <w:overflowPunct/>
              <w:topLinePunct w:val="0"/>
              <w:autoSpaceDE/>
              <w:autoSpaceDN/>
              <w:bidi w:val="0"/>
              <w:adjustRightInd/>
              <w:snapToGrid/>
              <w:spacing w:line="370" w:lineRule="exact"/>
              <w:jc w:val="left"/>
              <w:textAlignment w:val="cente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t>甲醛含量、pH值、耐水色牢度、耐酸汗渍色牢度、耐碱汗渍色牢度、耐干摩擦色牢度、纤维含量</w:t>
            </w:r>
          </w:p>
        </w:tc>
        <w:tc>
          <w:tcPr>
            <w:tcW w:w="1117" w:type="dxa"/>
            <w:noWrap w:val="0"/>
            <w:vAlign w:val="center"/>
          </w:tcPr>
          <w:p w14:paraId="3F5EE31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t>3</w:t>
            </w:r>
          </w:p>
        </w:tc>
      </w:tr>
      <w:tr w14:paraId="60CF7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37" w:hRule="atLeast"/>
          <w:tblHeader/>
          <w:jc w:val="center"/>
        </w:trPr>
        <w:tc>
          <w:tcPr>
            <w:tcW w:w="1684" w:type="dxa"/>
            <w:vMerge w:val="continue"/>
            <w:noWrap w:val="0"/>
            <w:vAlign w:val="center"/>
          </w:tcPr>
          <w:p w14:paraId="68B191C4">
            <w:pPr>
              <w:keepNext w:val="0"/>
              <w:keepLines w:val="0"/>
              <w:pageBreakBefore w:val="0"/>
              <w:widowControl/>
              <w:suppressLineNumbers w:val="0"/>
              <w:kinsoku/>
              <w:wordWrap/>
              <w:overflowPunct/>
              <w:topLinePunct w:val="0"/>
              <w:autoSpaceDE/>
              <w:autoSpaceDN/>
              <w:bidi w:val="0"/>
              <w:adjustRightInd/>
              <w:snapToGrid/>
              <w:spacing w:line="370" w:lineRule="exact"/>
              <w:jc w:val="center"/>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p>
        </w:tc>
        <w:tc>
          <w:tcPr>
            <w:tcW w:w="2088" w:type="dxa"/>
            <w:noWrap w:val="0"/>
            <w:vAlign w:val="center"/>
          </w:tcPr>
          <w:p w14:paraId="329B9CD4">
            <w:pPr>
              <w:keepNext w:val="0"/>
              <w:keepLines w:val="0"/>
              <w:pageBreakBefore w:val="0"/>
              <w:widowControl/>
              <w:suppressLineNumbers w:val="0"/>
              <w:kinsoku/>
              <w:wordWrap/>
              <w:overflowPunct/>
              <w:topLinePunct w:val="0"/>
              <w:autoSpaceDE/>
              <w:autoSpaceDN/>
              <w:bidi w:val="0"/>
              <w:adjustRightInd/>
              <w:snapToGrid/>
              <w:spacing w:line="370" w:lineRule="exact"/>
              <w:jc w:val="center"/>
              <w:textAlignment w:val="cente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t>配套床上用品</w:t>
            </w:r>
          </w:p>
        </w:tc>
        <w:tc>
          <w:tcPr>
            <w:tcW w:w="4788" w:type="dxa"/>
            <w:noWrap w:val="0"/>
            <w:vAlign w:val="center"/>
          </w:tcPr>
          <w:p w14:paraId="0CA00FEE">
            <w:pPr>
              <w:keepNext w:val="0"/>
              <w:keepLines w:val="0"/>
              <w:pageBreakBefore w:val="0"/>
              <w:widowControl/>
              <w:suppressLineNumbers w:val="0"/>
              <w:kinsoku/>
              <w:wordWrap/>
              <w:overflowPunct/>
              <w:topLinePunct w:val="0"/>
              <w:autoSpaceDE/>
              <w:autoSpaceDN/>
              <w:bidi w:val="0"/>
              <w:adjustRightInd/>
              <w:snapToGrid/>
              <w:spacing w:line="370" w:lineRule="exact"/>
              <w:jc w:val="left"/>
              <w:textAlignment w:val="cente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t>甲醛含量、pH值、耐水色牢度、耐酸汗渍色牢度、耐碱汗渍色牢度、耐干摩擦色牢度、纤维含量</w:t>
            </w:r>
          </w:p>
        </w:tc>
        <w:tc>
          <w:tcPr>
            <w:tcW w:w="1117" w:type="dxa"/>
            <w:noWrap w:val="0"/>
            <w:vAlign w:val="center"/>
          </w:tcPr>
          <w:p w14:paraId="234BB25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t>2</w:t>
            </w:r>
          </w:p>
        </w:tc>
      </w:tr>
      <w:tr w14:paraId="0AAA9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37" w:hRule="atLeast"/>
          <w:tblHeader/>
          <w:jc w:val="center"/>
        </w:trPr>
        <w:tc>
          <w:tcPr>
            <w:tcW w:w="1684" w:type="dxa"/>
            <w:vMerge w:val="continue"/>
            <w:noWrap w:val="0"/>
            <w:vAlign w:val="center"/>
          </w:tcPr>
          <w:p w14:paraId="7E068D55">
            <w:pPr>
              <w:keepNext w:val="0"/>
              <w:keepLines w:val="0"/>
              <w:pageBreakBefore w:val="0"/>
              <w:widowControl/>
              <w:suppressLineNumbers w:val="0"/>
              <w:kinsoku/>
              <w:wordWrap/>
              <w:overflowPunct/>
              <w:topLinePunct w:val="0"/>
              <w:autoSpaceDE/>
              <w:autoSpaceDN/>
              <w:bidi w:val="0"/>
              <w:adjustRightInd/>
              <w:snapToGrid/>
              <w:spacing w:line="370" w:lineRule="exact"/>
              <w:jc w:val="center"/>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p>
        </w:tc>
        <w:tc>
          <w:tcPr>
            <w:tcW w:w="2088" w:type="dxa"/>
            <w:noWrap w:val="0"/>
            <w:vAlign w:val="center"/>
          </w:tcPr>
          <w:p w14:paraId="057AD19C">
            <w:pPr>
              <w:keepNext w:val="0"/>
              <w:keepLines w:val="0"/>
              <w:pageBreakBefore w:val="0"/>
              <w:widowControl/>
              <w:suppressLineNumbers w:val="0"/>
              <w:kinsoku/>
              <w:wordWrap/>
              <w:overflowPunct/>
              <w:topLinePunct w:val="0"/>
              <w:autoSpaceDE/>
              <w:autoSpaceDN/>
              <w:bidi w:val="0"/>
              <w:adjustRightInd/>
              <w:snapToGrid/>
              <w:spacing w:line="370" w:lineRule="exact"/>
              <w:jc w:val="center"/>
              <w:textAlignment w:val="cente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t>睡衣套</w:t>
            </w:r>
          </w:p>
        </w:tc>
        <w:tc>
          <w:tcPr>
            <w:tcW w:w="4788" w:type="dxa"/>
            <w:noWrap w:val="0"/>
            <w:vAlign w:val="center"/>
          </w:tcPr>
          <w:p w14:paraId="5D8851AC">
            <w:pPr>
              <w:keepNext w:val="0"/>
              <w:keepLines w:val="0"/>
              <w:pageBreakBefore w:val="0"/>
              <w:widowControl/>
              <w:suppressLineNumbers w:val="0"/>
              <w:kinsoku/>
              <w:wordWrap/>
              <w:overflowPunct/>
              <w:topLinePunct w:val="0"/>
              <w:autoSpaceDE/>
              <w:autoSpaceDN/>
              <w:bidi w:val="0"/>
              <w:adjustRightInd/>
              <w:snapToGrid/>
              <w:spacing w:line="370" w:lineRule="exact"/>
              <w:jc w:val="left"/>
              <w:textAlignment w:val="cente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t>甲醛含量、pH值、耐水色牢度、耐酸汗渍色牢度、耐碱汗渍色牢度、耐干摩擦色牢度、纤维含量</w:t>
            </w:r>
          </w:p>
        </w:tc>
        <w:tc>
          <w:tcPr>
            <w:tcW w:w="1117" w:type="dxa"/>
            <w:noWrap w:val="0"/>
            <w:vAlign w:val="center"/>
          </w:tcPr>
          <w:p w14:paraId="2FFF97C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3</w:t>
            </w:r>
          </w:p>
        </w:tc>
      </w:tr>
      <w:tr w14:paraId="25D98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47" w:hRule="atLeast"/>
          <w:tblHeader/>
          <w:jc w:val="center"/>
        </w:trPr>
        <w:tc>
          <w:tcPr>
            <w:tcW w:w="1684" w:type="dxa"/>
            <w:vMerge w:val="continue"/>
            <w:noWrap w:val="0"/>
            <w:vAlign w:val="center"/>
          </w:tcPr>
          <w:p w14:paraId="0925E42C">
            <w:pPr>
              <w:keepNext w:val="0"/>
              <w:keepLines w:val="0"/>
              <w:pageBreakBefore w:val="0"/>
              <w:widowControl/>
              <w:suppressLineNumbers w:val="0"/>
              <w:kinsoku/>
              <w:wordWrap/>
              <w:overflowPunct/>
              <w:topLinePunct w:val="0"/>
              <w:autoSpaceDE/>
              <w:autoSpaceDN/>
              <w:bidi w:val="0"/>
              <w:adjustRightInd/>
              <w:snapToGrid/>
              <w:spacing w:line="370" w:lineRule="exact"/>
              <w:jc w:val="center"/>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p>
        </w:tc>
        <w:tc>
          <w:tcPr>
            <w:tcW w:w="2088" w:type="dxa"/>
            <w:noWrap w:val="0"/>
            <w:vAlign w:val="center"/>
          </w:tcPr>
          <w:p w14:paraId="22DBD87B">
            <w:pPr>
              <w:keepNext w:val="0"/>
              <w:keepLines w:val="0"/>
              <w:pageBreakBefore w:val="0"/>
              <w:widowControl/>
              <w:suppressLineNumbers w:val="0"/>
              <w:kinsoku/>
              <w:wordWrap/>
              <w:overflowPunct/>
              <w:topLinePunct w:val="0"/>
              <w:autoSpaceDE/>
              <w:autoSpaceDN/>
              <w:bidi w:val="0"/>
              <w:adjustRightInd/>
              <w:snapToGrid/>
              <w:spacing w:line="370" w:lineRule="exact"/>
              <w:jc w:val="center"/>
              <w:textAlignment w:val="cente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t>儿童鞋</w:t>
            </w:r>
          </w:p>
        </w:tc>
        <w:tc>
          <w:tcPr>
            <w:tcW w:w="4788" w:type="dxa"/>
            <w:noWrap w:val="0"/>
            <w:vAlign w:val="center"/>
          </w:tcPr>
          <w:p w14:paraId="190C56B6">
            <w:pPr>
              <w:keepNext w:val="0"/>
              <w:keepLines w:val="0"/>
              <w:pageBreakBefore w:val="0"/>
              <w:widowControl/>
              <w:suppressLineNumbers w:val="0"/>
              <w:kinsoku/>
              <w:wordWrap/>
              <w:overflowPunct/>
              <w:topLinePunct w:val="0"/>
              <w:autoSpaceDE/>
              <w:autoSpaceDN/>
              <w:bidi w:val="0"/>
              <w:adjustRightInd/>
              <w:snapToGrid/>
              <w:spacing w:line="370" w:lineRule="exact"/>
              <w:jc w:val="left"/>
              <w:textAlignment w:val="cente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t>基本要求、婴幼儿鞋小附件要求、六价铬、可分解致癌芳香胺染料、甲醛、重金属总量</w:t>
            </w:r>
          </w:p>
        </w:tc>
        <w:tc>
          <w:tcPr>
            <w:tcW w:w="1117" w:type="dxa"/>
            <w:noWrap w:val="0"/>
            <w:vAlign w:val="center"/>
          </w:tcPr>
          <w:p w14:paraId="273F245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4</w:t>
            </w:r>
          </w:p>
        </w:tc>
      </w:tr>
      <w:tr w14:paraId="62B62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37" w:hRule="atLeast"/>
          <w:tblHeader/>
          <w:jc w:val="center"/>
        </w:trPr>
        <w:tc>
          <w:tcPr>
            <w:tcW w:w="1684" w:type="dxa"/>
            <w:vMerge w:val="restart"/>
            <w:noWrap w:val="0"/>
            <w:vAlign w:val="center"/>
          </w:tcPr>
          <w:p w14:paraId="09E42743">
            <w:pPr>
              <w:keepNext w:val="0"/>
              <w:keepLines w:val="0"/>
              <w:pageBreakBefore w:val="0"/>
              <w:widowControl/>
              <w:suppressLineNumbers w:val="0"/>
              <w:kinsoku/>
              <w:wordWrap/>
              <w:overflowPunct/>
              <w:topLinePunct w:val="0"/>
              <w:autoSpaceDE/>
              <w:autoSpaceDN/>
              <w:bidi w:val="0"/>
              <w:adjustRightInd/>
              <w:snapToGrid/>
              <w:spacing w:line="370" w:lineRule="exact"/>
              <w:jc w:val="center"/>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插座</w:t>
            </w:r>
          </w:p>
        </w:tc>
        <w:tc>
          <w:tcPr>
            <w:tcW w:w="2088" w:type="dxa"/>
            <w:noWrap w:val="0"/>
            <w:vAlign w:val="center"/>
          </w:tcPr>
          <w:p w14:paraId="736DE846">
            <w:pPr>
              <w:keepNext w:val="0"/>
              <w:keepLines w:val="0"/>
              <w:pageBreakBefore w:val="0"/>
              <w:widowControl/>
              <w:suppressLineNumbers w:val="0"/>
              <w:kinsoku/>
              <w:wordWrap/>
              <w:overflowPunct/>
              <w:topLinePunct w:val="0"/>
              <w:autoSpaceDE/>
              <w:autoSpaceDN/>
              <w:bidi w:val="0"/>
              <w:adjustRightInd/>
              <w:snapToGrid/>
              <w:spacing w:line="370" w:lineRule="exact"/>
              <w:jc w:val="center"/>
              <w:textAlignment w:val="cente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插头插座</w:t>
            </w:r>
          </w:p>
        </w:tc>
        <w:tc>
          <w:tcPr>
            <w:tcW w:w="4788" w:type="dxa"/>
            <w:noWrap w:val="0"/>
            <w:vAlign w:val="center"/>
          </w:tcPr>
          <w:p w14:paraId="6DC2C9D9">
            <w:pPr>
              <w:keepNext w:val="0"/>
              <w:keepLines w:val="0"/>
              <w:pageBreakBefore w:val="0"/>
              <w:widowControl/>
              <w:suppressLineNumbers w:val="0"/>
              <w:kinsoku/>
              <w:wordWrap/>
              <w:overflowPunct/>
              <w:topLinePunct w:val="0"/>
              <w:autoSpaceDE/>
              <w:autoSpaceDN/>
              <w:bidi w:val="0"/>
              <w:adjustRightInd/>
              <w:snapToGrid/>
              <w:spacing w:line="370" w:lineRule="exact"/>
              <w:jc w:val="left"/>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尺寸检查、防触电保护、接地措施、耐潮、绝缘电阻和电气强度、温升、拔出插头所需的力、耐热</w:t>
            </w:r>
          </w:p>
        </w:tc>
        <w:tc>
          <w:tcPr>
            <w:tcW w:w="1117" w:type="dxa"/>
            <w:noWrap w:val="0"/>
            <w:vAlign w:val="center"/>
          </w:tcPr>
          <w:p w14:paraId="0DC6F01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t>3</w:t>
            </w:r>
          </w:p>
        </w:tc>
      </w:tr>
      <w:tr w14:paraId="20AFB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77" w:hRule="atLeast"/>
          <w:tblHeader/>
          <w:jc w:val="center"/>
        </w:trPr>
        <w:tc>
          <w:tcPr>
            <w:tcW w:w="1684" w:type="dxa"/>
            <w:vMerge w:val="continue"/>
            <w:noWrap w:val="0"/>
            <w:vAlign w:val="center"/>
          </w:tcPr>
          <w:p w14:paraId="21DE7207">
            <w:pPr>
              <w:keepNext w:val="0"/>
              <w:keepLines w:val="0"/>
              <w:pageBreakBefore w:val="0"/>
              <w:widowControl/>
              <w:suppressLineNumbers w:val="0"/>
              <w:kinsoku/>
              <w:wordWrap/>
              <w:overflowPunct/>
              <w:topLinePunct w:val="0"/>
              <w:autoSpaceDE/>
              <w:autoSpaceDN/>
              <w:bidi w:val="0"/>
              <w:adjustRightInd/>
              <w:snapToGrid/>
              <w:spacing w:line="370" w:lineRule="exact"/>
              <w:jc w:val="center"/>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p>
        </w:tc>
        <w:tc>
          <w:tcPr>
            <w:tcW w:w="2088" w:type="dxa"/>
            <w:noWrap w:val="0"/>
            <w:vAlign w:val="center"/>
          </w:tcPr>
          <w:p w14:paraId="50556727">
            <w:pPr>
              <w:keepNext w:val="0"/>
              <w:keepLines w:val="0"/>
              <w:pageBreakBefore w:val="0"/>
              <w:widowControl/>
              <w:suppressLineNumbers w:val="0"/>
              <w:kinsoku/>
              <w:wordWrap/>
              <w:overflowPunct/>
              <w:topLinePunct w:val="0"/>
              <w:autoSpaceDE/>
              <w:autoSpaceDN/>
              <w:bidi w:val="0"/>
              <w:adjustRightInd/>
              <w:snapToGrid/>
              <w:spacing w:line="370" w:lineRule="exact"/>
              <w:jc w:val="center"/>
              <w:textAlignment w:val="cente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 xml:space="preserve"> 器具插座</w:t>
            </w:r>
          </w:p>
        </w:tc>
        <w:tc>
          <w:tcPr>
            <w:tcW w:w="4788" w:type="dxa"/>
            <w:noWrap w:val="0"/>
            <w:vAlign w:val="center"/>
          </w:tcPr>
          <w:p w14:paraId="0E19D7CA">
            <w:pPr>
              <w:keepNext w:val="0"/>
              <w:keepLines w:val="0"/>
              <w:pageBreakBefore w:val="0"/>
              <w:widowControl/>
              <w:suppressLineNumbers w:val="0"/>
              <w:kinsoku/>
              <w:wordWrap/>
              <w:overflowPunct/>
              <w:topLinePunct w:val="0"/>
              <w:autoSpaceDE/>
              <w:autoSpaceDN/>
              <w:bidi w:val="0"/>
              <w:adjustRightInd/>
              <w:snapToGrid/>
              <w:spacing w:line="370" w:lineRule="exact"/>
              <w:jc w:val="left"/>
              <w:textAlignment w:val="cente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t>绝缘电阻和电气强度、耐热、软缆及其连接、防触电保护、尺寸检查、拔出插头所需的力、接地措施、温升</w:t>
            </w:r>
          </w:p>
        </w:tc>
        <w:tc>
          <w:tcPr>
            <w:tcW w:w="1117" w:type="dxa"/>
            <w:noWrap w:val="0"/>
            <w:vAlign w:val="center"/>
          </w:tcPr>
          <w:p w14:paraId="63EF7BA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t>3</w:t>
            </w:r>
          </w:p>
        </w:tc>
      </w:tr>
      <w:tr w14:paraId="46149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37" w:hRule="atLeast"/>
          <w:tblHeader/>
          <w:jc w:val="center"/>
        </w:trPr>
        <w:tc>
          <w:tcPr>
            <w:tcW w:w="1684" w:type="dxa"/>
            <w:vMerge w:val="restart"/>
            <w:noWrap w:val="0"/>
            <w:vAlign w:val="center"/>
          </w:tcPr>
          <w:p w14:paraId="534BF20E">
            <w:pPr>
              <w:keepNext w:val="0"/>
              <w:keepLines w:val="0"/>
              <w:pageBreakBefore w:val="0"/>
              <w:widowControl/>
              <w:suppressLineNumbers w:val="0"/>
              <w:kinsoku/>
              <w:wordWrap/>
              <w:overflowPunct/>
              <w:topLinePunct w:val="0"/>
              <w:autoSpaceDE/>
              <w:autoSpaceDN/>
              <w:bidi w:val="0"/>
              <w:adjustRightInd/>
              <w:snapToGrid/>
              <w:spacing w:line="370" w:lineRule="exact"/>
              <w:jc w:val="center"/>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灯具</w:t>
            </w:r>
          </w:p>
        </w:tc>
        <w:tc>
          <w:tcPr>
            <w:tcW w:w="2088" w:type="dxa"/>
            <w:noWrap w:val="0"/>
            <w:vAlign w:val="center"/>
          </w:tcPr>
          <w:p w14:paraId="42A021B1">
            <w:pPr>
              <w:keepNext w:val="0"/>
              <w:keepLines w:val="0"/>
              <w:pageBreakBefore w:val="0"/>
              <w:widowControl/>
              <w:suppressLineNumbers w:val="0"/>
              <w:kinsoku/>
              <w:wordWrap/>
              <w:overflowPunct/>
              <w:topLinePunct w:val="0"/>
              <w:autoSpaceDE/>
              <w:autoSpaceDN/>
              <w:bidi w:val="0"/>
              <w:adjustRightInd/>
              <w:snapToGrid/>
              <w:spacing w:line="370" w:lineRule="exact"/>
              <w:jc w:val="center"/>
              <w:textAlignment w:val="cente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固定式通用灯具</w:t>
            </w:r>
          </w:p>
        </w:tc>
        <w:tc>
          <w:tcPr>
            <w:tcW w:w="4788" w:type="dxa"/>
            <w:noWrap w:val="0"/>
            <w:vAlign w:val="center"/>
          </w:tcPr>
          <w:p w14:paraId="295EAA5B">
            <w:pPr>
              <w:keepNext w:val="0"/>
              <w:keepLines w:val="0"/>
              <w:pageBreakBefore w:val="0"/>
              <w:widowControl/>
              <w:suppressLineNumbers w:val="0"/>
              <w:kinsoku/>
              <w:wordWrap/>
              <w:overflowPunct/>
              <w:topLinePunct w:val="0"/>
              <w:autoSpaceDE/>
              <w:autoSpaceDN/>
              <w:bidi w:val="0"/>
              <w:adjustRightInd/>
              <w:snapToGrid/>
              <w:spacing w:line="370" w:lineRule="exact"/>
              <w:jc w:val="left"/>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内部和外部接线、接地规定、标记、爬电距离和电气间隙、结构、绝缘电阻和电气强度、防触电保护</w:t>
            </w:r>
          </w:p>
        </w:tc>
        <w:tc>
          <w:tcPr>
            <w:tcW w:w="1117" w:type="dxa"/>
            <w:noWrap w:val="0"/>
            <w:vAlign w:val="center"/>
          </w:tcPr>
          <w:p w14:paraId="1D62BB2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2</w:t>
            </w:r>
          </w:p>
        </w:tc>
      </w:tr>
      <w:tr w14:paraId="4C1A5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37" w:hRule="atLeast"/>
          <w:tblHeader/>
          <w:jc w:val="center"/>
        </w:trPr>
        <w:tc>
          <w:tcPr>
            <w:tcW w:w="1684" w:type="dxa"/>
            <w:vMerge w:val="continue"/>
            <w:noWrap w:val="0"/>
            <w:vAlign w:val="center"/>
          </w:tcPr>
          <w:p w14:paraId="4080149C">
            <w:pPr>
              <w:keepNext w:val="0"/>
              <w:keepLines w:val="0"/>
              <w:pageBreakBefore w:val="0"/>
              <w:widowControl/>
              <w:suppressLineNumbers w:val="0"/>
              <w:kinsoku/>
              <w:wordWrap/>
              <w:overflowPunct/>
              <w:topLinePunct w:val="0"/>
              <w:autoSpaceDE/>
              <w:autoSpaceDN/>
              <w:bidi w:val="0"/>
              <w:adjustRightInd/>
              <w:snapToGrid/>
              <w:spacing w:line="370" w:lineRule="exact"/>
              <w:jc w:val="center"/>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p>
        </w:tc>
        <w:tc>
          <w:tcPr>
            <w:tcW w:w="2088" w:type="dxa"/>
            <w:noWrap w:val="0"/>
            <w:vAlign w:val="center"/>
          </w:tcPr>
          <w:p w14:paraId="445C3485">
            <w:pPr>
              <w:keepNext w:val="0"/>
              <w:keepLines w:val="0"/>
              <w:pageBreakBefore w:val="0"/>
              <w:widowControl/>
              <w:suppressLineNumbers w:val="0"/>
              <w:kinsoku/>
              <w:wordWrap/>
              <w:overflowPunct/>
              <w:topLinePunct w:val="0"/>
              <w:autoSpaceDE/>
              <w:autoSpaceDN/>
              <w:bidi w:val="0"/>
              <w:adjustRightInd/>
              <w:snapToGrid/>
              <w:spacing w:line="370" w:lineRule="exact"/>
              <w:jc w:val="center"/>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可移式通用灯具</w:t>
            </w:r>
          </w:p>
        </w:tc>
        <w:tc>
          <w:tcPr>
            <w:tcW w:w="4788" w:type="dxa"/>
            <w:noWrap w:val="0"/>
            <w:vAlign w:val="center"/>
          </w:tcPr>
          <w:p w14:paraId="2A06A10D">
            <w:pPr>
              <w:keepNext w:val="0"/>
              <w:keepLines w:val="0"/>
              <w:pageBreakBefore w:val="0"/>
              <w:widowControl/>
              <w:suppressLineNumbers w:val="0"/>
              <w:kinsoku/>
              <w:wordWrap/>
              <w:overflowPunct/>
              <w:topLinePunct w:val="0"/>
              <w:autoSpaceDE/>
              <w:autoSpaceDN/>
              <w:bidi w:val="0"/>
              <w:adjustRightInd/>
              <w:snapToGrid/>
              <w:spacing w:line="370" w:lineRule="exact"/>
              <w:jc w:val="left"/>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外部接线和内部接线、接地规定、标记、爬电距离和电气间隙、结构、绝缘电阻和电气强度、防触电保护</w:t>
            </w:r>
          </w:p>
        </w:tc>
        <w:tc>
          <w:tcPr>
            <w:tcW w:w="1117" w:type="dxa"/>
            <w:noWrap w:val="0"/>
            <w:vAlign w:val="center"/>
          </w:tcPr>
          <w:p w14:paraId="75A2D63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1</w:t>
            </w:r>
          </w:p>
        </w:tc>
      </w:tr>
      <w:tr w14:paraId="6611C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37" w:hRule="atLeast"/>
          <w:tblHeader/>
          <w:jc w:val="center"/>
        </w:trPr>
        <w:tc>
          <w:tcPr>
            <w:tcW w:w="1684" w:type="dxa"/>
            <w:vMerge w:val="continue"/>
            <w:noWrap w:val="0"/>
            <w:vAlign w:val="center"/>
          </w:tcPr>
          <w:p w14:paraId="1E9D4969">
            <w:pPr>
              <w:keepNext w:val="0"/>
              <w:keepLines w:val="0"/>
              <w:pageBreakBefore w:val="0"/>
              <w:widowControl/>
              <w:suppressLineNumbers w:val="0"/>
              <w:kinsoku/>
              <w:wordWrap/>
              <w:overflowPunct/>
              <w:topLinePunct w:val="0"/>
              <w:autoSpaceDE/>
              <w:autoSpaceDN/>
              <w:bidi w:val="0"/>
              <w:adjustRightInd/>
              <w:snapToGrid/>
              <w:spacing w:line="370" w:lineRule="exact"/>
              <w:jc w:val="center"/>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p>
        </w:tc>
        <w:tc>
          <w:tcPr>
            <w:tcW w:w="2088" w:type="dxa"/>
            <w:noWrap w:val="0"/>
            <w:vAlign w:val="center"/>
          </w:tcPr>
          <w:p w14:paraId="12B6BBDA">
            <w:pPr>
              <w:keepNext w:val="0"/>
              <w:keepLines w:val="0"/>
              <w:pageBreakBefore w:val="0"/>
              <w:widowControl/>
              <w:suppressLineNumbers w:val="0"/>
              <w:kinsoku/>
              <w:wordWrap/>
              <w:overflowPunct/>
              <w:topLinePunct w:val="0"/>
              <w:autoSpaceDE/>
              <w:autoSpaceDN/>
              <w:bidi w:val="0"/>
              <w:adjustRightInd/>
              <w:snapToGrid/>
              <w:spacing w:line="370" w:lineRule="exact"/>
              <w:jc w:val="center"/>
              <w:textAlignment w:val="cente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手提灯</w:t>
            </w:r>
          </w:p>
        </w:tc>
        <w:tc>
          <w:tcPr>
            <w:tcW w:w="4788" w:type="dxa"/>
            <w:noWrap w:val="0"/>
            <w:vAlign w:val="center"/>
          </w:tcPr>
          <w:p w14:paraId="2D9D85A9">
            <w:pPr>
              <w:keepNext w:val="0"/>
              <w:keepLines w:val="0"/>
              <w:pageBreakBefore w:val="0"/>
              <w:widowControl/>
              <w:suppressLineNumbers w:val="0"/>
              <w:kinsoku/>
              <w:wordWrap/>
              <w:overflowPunct/>
              <w:topLinePunct w:val="0"/>
              <w:autoSpaceDE/>
              <w:autoSpaceDN/>
              <w:bidi w:val="0"/>
              <w:adjustRightInd/>
              <w:snapToGrid/>
              <w:spacing w:line="370" w:lineRule="exact"/>
              <w:jc w:val="left"/>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外部接线和内部接线、接地规定、标记、爬电距离和电气间隙、结构、绝缘电阻和电气强度、防触电保护</w:t>
            </w:r>
          </w:p>
        </w:tc>
        <w:tc>
          <w:tcPr>
            <w:tcW w:w="1117" w:type="dxa"/>
            <w:noWrap w:val="0"/>
            <w:vAlign w:val="center"/>
          </w:tcPr>
          <w:p w14:paraId="00B20F6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1</w:t>
            </w:r>
          </w:p>
        </w:tc>
      </w:tr>
      <w:tr w14:paraId="71642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37" w:hRule="atLeast"/>
          <w:tblHeader/>
          <w:jc w:val="center"/>
        </w:trPr>
        <w:tc>
          <w:tcPr>
            <w:tcW w:w="1684" w:type="dxa"/>
            <w:vMerge w:val="restart"/>
            <w:noWrap w:val="0"/>
            <w:vAlign w:val="center"/>
          </w:tcPr>
          <w:p w14:paraId="2560979B">
            <w:pPr>
              <w:keepNext w:val="0"/>
              <w:keepLines w:val="0"/>
              <w:pageBreakBefore w:val="0"/>
              <w:widowControl/>
              <w:suppressLineNumbers w:val="0"/>
              <w:kinsoku/>
              <w:wordWrap/>
              <w:overflowPunct/>
              <w:topLinePunct w:val="0"/>
              <w:autoSpaceDE/>
              <w:autoSpaceDN/>
              <w:bidi w:val="0"/>
              <w:adjustRightInd/>
              <w:snapToGrid/>
              <w:spacing w:line="370" w:lineRule="exact"/>
              <w:jc w:val="center"/>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家电</w:t>
            </w:r>
          </w:p>
        </w:tc>
        <w:tc>
          <w:tcPr>
            <w:tcW w:w="2088" w:type="dxa"/>
            <w:noWrap w:val="0"/>
            <w:vAlign w:val="center"/>
          </w:tcPr>
          <w:p w14:paraId="1A816628">
            <w:pPr>
              <w:keepNext w:val="0"/>
              <w:keepLines w:val="0"/>
              <w:pageBreakBefore w:val="0"/>
              <w:widowControl/>
              <w:suppressLineNumbers w:val="0"/>
              <w:kinsoku/>
              <w:wordWrap/>
              <w:overflowPunct/>
              <w:topLinePunct w:val="0"/>
              <w:autoSpaceDE/>
              <w:autoSpaceDN/>
              <w:bidi w:val="0"/>
              <w:adjustRightInd/>
              <w:snapToGrid/>
              <w:spacing w:line="370" w:lineRule="exact"/>
              <w:jc w:val="center"/>
              <w:textAlignment w:val="cente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电池充电器</w:t>
            </w:r>
          </w:p>
        </w:tc>
        <w:tc>
          <w:tcPr>
            <w:tcW w:w="4788" w:type="dxa"/>
            <w:noWrap w:val="0"/>
            <w:vAlign w:val="center"/>
          </w:tcPr>
          <w:p w14:paraId="0237E2E0">
            <w:pPr>
              <w:keepNext w:val="0"/>
              <w:keepLines w:val="0"/>
              <w:pageBreakBefore w:val="0"/>
              <w:widowControl/>
              <w:suppressLineNumbers w:val="0"/>
              <w:kinsoku/>
              <w:wordWrap/>
              <w:overflowPunct/>
              <w:topLinePunct w:val="0"/>
              <w:autoSpaceDE/>
              <w:autoSpaceDN/>
              <w:bidi w:val="0"/>
              <w:adjustRightInd/>
              <w:snapToGrid/>
              <w:spacing w:line="370" w:lineRule="exact"/>
              <w:jc w:val="left"/>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泄漏电流和电气强度、电源连接和外部软线、稳定性和机械危险、结构、螺钉和连接、输入功率和电流、外部导线用接线端子、对触及带电部件的防护、标志和说明</w:t>
            </w:r>
          </w:p>
        </w:tc>
        <w:tc>
          <w:tcPr>
            <w:tcW w:w="1117" w:type="dxa"/>
            <w:noWrap w:val="0"/>
            <w:vAlign w:val="center"/>
          </w:tcPr>
          <w:p w14:paraId="25A702F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val="0"/>
                <w:bCs w:val="0"/>
                <w:i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2</w:t>
            </w:r>
          </w:p>
        </w:tc>
      </w:tr>
      <w:tr w14:paraId="64FA1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37" w:hRule="atLeast"/>
          <w:tblHeader/>
          <w:jc w:val="center"/>
        </w:trPr>
        <w:tc>
          <w:tcPr>
            <w:tcW w:w="1684" w:type="dxa"/>
            <w:vMerge w:val="continue"/>
            <w:noWrap w:val="0"/>
            <w:vAlign w:val="center"/>
          </w:tcPr>
          <w:p w14:paraId="516488CD">
            <w:pPr>
              <w:keepNext w:val="0"/>
              <w:keepLines w:val="0"/>
              <w:pageBreakBefore w:val="0"/>
              <w:widowControl/>
              <w:suppressLineNumbers w:val="0"/>
              <w:kinsoku/>
              <w:wordWrap/>
              <w:overflowPunct/>
              <w:topLinePunct w:val="0"/>
              <w:autoSpaceDE/>
              <w:autoSpaceDN/>
              <w:bidi w:val="0"/>
              <w:adjustRightInd/>
              <w:snapToGrid/>
              <w:spacing w:line="370" w:lineRule="exact"/>
              <w:jc w:val="center"/>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p>
        </w:tc>
        <w:tc>
          <w:tcPr>
            <w:tcW w:w="2088" w:type="dxa"/>
            <w:noWrap w:val="0"/>
            <w:vAlign w:val="center"/>
          </w:tcPr>
          <w:p w14:paraId="661CE4A8">
            <w:pPr>
              <w:keepNext w:val="0"/>
              <w:keepLines w:val="0"/>
              <w:pageBreakBefore w:val="0"/>
              <w:widowControl/>
              <w:suppressLineNumbers w:val="0"/>
              <w:kinsoku/>
              <w:wordWrap/>
              <w:overflowPunct/>
              <w:topLinePunct w:val="0"/>
              <w:autoSpaceDE/>
              <w:autoSpaceDN/>
              <w:bidi w:val="0"/>
              <w:adjustRightInd/>
              <w:snapToGrid/>
              <w:spacing w:line="370" w:lineRule="exact"/>
              <w:jc w:val="center"/>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 xml:space="preserve"> 储热式电热暖手器</w:t>
            </w:r>
          </w:p>
        </w:tc>
        <w:tc>
          <w:tcPr>
            <w:tcW w:w="4788" w:type="dxa"/>
            <w:noWrap w:val="0"/>
            <w:vAlign w:val="center"/>
          </w:tcPr>
          <w:p w14:paraId="4C88A8F0">
            <w:pPr>
              <w:keepNext w:val="0"/>
              <w:keepLines w:val="0"/>
              <w:pageBreakBefore w:val="0"/>
              <w:widowControl/>
              <w:suppressLineNumbers w:val="0"/>
              <w:kinsoku/>
              <w:wordWrap/>
              <w:overflowPunct/>
              <w:topLinePunct w:val="0"/>
              <w:autoSpaceDE/>
              <w:autoSpaceDN/>
              <w:bidi w:val="0"/>
              <w:adjustRightInd/>
              <w:snapToGrid/>
              <w:spacing w:line="370" w:lineRule="exact"/>
              <w:jc w:val="left"/>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泄漏电流和电气强度、电源连接和外部软线、稳定性和机械危险、结构螺钉和连接、输入功率和电流、外部导线用接线端子、对触及带电部件的防护、标志和说明</w:t>
            </w:r>
          </w:p>
        </w:tc>
        <w:tc>
          <w:tcPr>
            <w:tcW w:w="1117" w:type="dxa"/>
            <w:noWrap w:val="0"/>
            <w:vAlign w:val="center"/>
          </w:tcPr>
          <w:p w14:paraId="3E2684F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2</w:t>
            </w:r>
          </w:p>
        </w:tc>
      </w:tr>
      <w:tr w14:paraId="16A7A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37" w:hRule="atLeast"/>
          <w:tblHeader/>
          <w:jc w:val="center"/>
        </w:trPr>
        <w:tc>
          <w:tcPr>
            <w:tcW w:w="1684" w:type="dxa"/>
            <w:vMerge w:val="continue"/>
            <w:noWrap w:val="0"/>
            <w:vAlign w:val="center"/>
          </w:tcPr>
          <w:p w14:paraId="7333BCDF">
            <w:pPr>
              <w:keepNext w:val="0"/>
              <w:keepLines w:val="0"/>
              <w:pageBreakBefore w:val="0"/>
              <w:widowControl/>
              <w:suppressLineNumbers w:val="0"/>
              <w:kinsoku/>
              <w:wordWrap/>
              <w:overflowPunct/>
              <w:topLinePunct w:val="0"/>
              <w:autoSpaceDE/>
              <w:autoSpaceDN/>
              <w:bidi w:val="0"/>
              <w:adjustRightInd/>
              <w:snapToGrid/>
              <w:spacing w:line="370" w:lineRule="exact"/>
              <w:jc w:val="center"/>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p>
        </w:tc>
        <w:tc>
          <w:tcPr>
            <w:tcW w:w="2088" w:type="dxa"/>
            <w:noWrap w:val="0"/>
            <w:vAlign w:val="center"/>
          </w:tcPr>
          <w:p w14:paraId="60D192A1">
            <w:pPr>
              <w:keepNext w:val="0"/>
              <w:keepLines w:val="0"/>
              <w:pageBreakBefore w:val="0"/>
              <w:widowControl/>
              <w:suppressLineNumbers w:val="0"/>
              <w:kinsoku/>
              <w:wordWrap/>
              <w:overflowPunct/>
              <w:topLinePunct w:val="0"/>
              <w:autoSpaceDE/>
              <w:autoSpaceDN/>
              <w:bidi w:val="0"/>
              <w:adjustRightInd/>
              <w:snapToGrid/>
              <w:spacing w:line="370" w:lineRule="exact"/>
              <w:jc w:val="center"/>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风扇</w:t>
            </w:r>
          </w:p>
        </w:tc>
        <w:tc>
          <w:tcPr>
            <w:tcW w:w="4788" w:type="dxa"/>
            <w:noWrap w:val="0"/>
            <w:vAlign w:val="center"/>
          </w:tcPr>
          <w:p w14:paraId="543A624B">
            <w:pPr>
              <w:keepNext w:val="0"/>
              <w:keepLines w:val="0"/>
              <w:pageBreakBefore w:val="0"/>
              <w:widowControl/>
              <w:suppressLineNumbers w:val="0"/>
              <w:kinsoku/>
              <w:wordWrap/>
              <w:overflowPunct/>
              <w:topLinePunct w:val="0"/>
              <w:autoSpaceDE/>
              <w:autoSpaceDN/>
              <w:bidi w:val="0"/>
              <w:adjustRightInd/>
              <w:snapToGrid/>
              <w:spacing w:line="370" w:lineRule="exact"/>
              <w:jc w:val="left"/>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泄漏电流和电气强度、电源连接和外部软线、稳定性和机械危险、结构、螺钉和连接、输入功率和电流、外部导线用接线端子、对触及带电部件的防护、标志和说明</w:t>
            </w:r>
          </w:p>
        </w:tc>
        <w:tc>
          <w:tcPr>
            <w:tcW w:w="1117" w:type="dxa"/>
            <w:noWrap w:val="0"/>
            <w:vAlign w:val="center"/>
          </w:tcPr>
          <w:p w14:paraId="27F4A9E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2</w:t>
            </w:r>
          </w:p>
        </w:tc>
      </w:tr>
      <w:tr w14:paraId="7099B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37" w:hRule="atLeast"/>
          <w:tblHeader/>
          <w:jc w:val="center"/>
        </w:trPr>
        <w:tc>
          <w:tcPr>
            <w:tcW w:w="1684" w:type="dxa"/>
            <w:vMerge w:val="restart"/>
            <w:noWrap w:val="0"/>
            <w:vAlign w:val="center"/>
          </w:tcPr>
          <w:p w14:paraId="5C76E3F0">
            <w:pPr>
              <w:keepNext w:val="0"/>
              <w:keepLines w:val="0"/>
              <w:pageBreakBefore w:val="0"/>
              <w:widowControl/>
              <w:suppressLineNumbers w:val="0"/>
              <w:kinsoku/>
              <w:wordWrap/>
              <w:overflowPunct/>
              <w:topLinePunct w:val="0"/>
              <w:autoSpaceDE/>
              <w:autoSpaceDN/>
              <w:bidi w:val="0"/>
              <w:adjustRightInd/>
              <w:snapToGrid/>
              <w:spacing w:line="370" w:lineRule="exact"/>
              <w:jc w:val="center"/>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学生用品</w:t>
            </w:r>
          </w:p>
        </w:tc>
        <w:tc>
          <w:tcPr>
            <w:tcW w:w="2088" w:type="dxa"/>
            <w:noWrap w:val="0"/>
            <w:vAlign w:val="center"/>
          </w:tcPr>
          <w:p w14:paraId="6AC79850">
            <w:pPr>
              <w:keepNext w:val="0"/>
              <w:keepLines w:val="0"/>
              <w:pageBreakBefore w:val="0"/>
              <w:widowControl/>
              <w:suppressLineNumbers w:val="0"/>
              <w:kinsoku/>
              <w:wordWrap/>
              <w:overflowPunct/>
              <w:topLinePunct w:val="0"/>
              <w:autoSpaceDE/>
              <w:autoSpaceDN/>
              <w:bidi w:val="0"/>
              <w:adjustRightInd/>
              <w:snapToGrid/>
              <w:spacing w:line="370" w:lineRule="exact"/>
              <w:jc w:val="center"/>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课业薄册</w:t>
            </w:r>
          </w:p>
        </w:tc>
        <w:tc>
          <w:tcPr>
            <w:tcW w:w="4788" w:type="dxa"/>
            <w:noWrap w:val="0"/>
            <w:vAlign w:val="center"/>
          </w:tcPr>
          <w:p w14:paraId="07BC94C8">
            <w:pPr>
              <w:keepNext w:val="0"/>
              <w:keepLines w:val="0"/>
              <w:pageBreakBefore w:val="0"/>
              <w:widowControl/>
              <w:suppressLineNumbers w:val="0"/>
              <w:kinsoku/>
              <w:wordWrap/>
              <w:overflowPunct/>
              <w:topLinePunct w:val="0"/>
              <w:autoSpaceDE/>
              <w:autoSpaceDN/>
              <w:bidi w:val="0"/>
              <w:adjustRightInd/>
              <w:snapToGrid/>
              <w:spacing w:line="370" w:lineRule="exact"/>
              <w:jc w:val="left"/>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D65亮度、D65荧光亮度、汞、砷、硒、钡、铅、铬、锑、镉</w:t>
            </w:r>
          </w:p>
        </w:tc>
        <w:tc>
          <w:tcPr>
            <w:tcW w:w="1117" w:type="dxa"/>
            <w:noWrap w:val="0"/>
            <w:vAlign w:val="center"/>
          </w:tcPr>
          <w:p w14:paraId="679B106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5</w:t>
            </w:r>
          </w:p>
        </w:tc>
      </w:tr>
      <w:tr w14:paraId="6C129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37" w:hRule="atLeast"/>
          <w:tblHeader/>
          <w:jc w:val="center"/>
        </w:trPr>
        <w:tc>
          <w:tcPr>
            <w:tcW w:w="1684" w:type="dxa"/>
            <w:vMerge w:val="continue"/>
            <w:noWrap w:val="0"/>
            <w:vAlign w:val="center"/>
          </w:tcPr>
          <w:p w14:paraId="449112B6">
            <w:pPr>
              <w:keepNext w:val="0"/>
              <w:keepLines w:val="0"/>
              <w:pageBreakBefore w:val="0"/>
              <w:widowControl/>
              <w:suppressLineNumbers w:val="0"/>
              <w:kinsoku/>
              <w:wordWrap/>
              <w:overflowPunct/>
              <w:topLinePunct w:val="0"/>
              <w:autoSpaceDE/>
              <w:autoSpaceDN/>
              <w:bidi w:val="0"/>
              <w:adjustRightInd/>
              <w:snapToGrid/>
              <w:spacing w:line="370" w:lineRule="exact"/>
              <w:jc w:val="center"/>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p>
        </w:tc>
        <w:tc>
          <w:tcPr>
            <w:tcW w:w="2088" w:type="dxa"/>
            <w:noWrap w:val="0"/>
            <w:vAlign w:val="center"/>
          </w:tcPr>
          <w:p w14:paraId="6800C69E">
            <w:pPr>
              <w:keepNext w:val="0"/>
              <w:keepLines w:val="0"/>
              <w:pageBreakBefore w:val="0"/>
              <w:widowControl/>
              <w:suppressLineNumbers w:val="0"/>
              <w:kinsoku/>
              <w:wordWrap/>
              <w:overflowPunct/>
              <w:topLinePunct w:val="0"/>
              <w:autoSpaceDE/>
              <w:autoSpaceDN/>
              <w:bidi w:val="0"/>
              <w:adjustRightInd/>
              <w:snapToGrid/>
              <w:spacing w:line="370" w:lineRule="exact"/>
              <w:jc w:val="center"/>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固体胶</w:t>
            </w:r>
          </w:p>
        </w:tc>
        <w:tc>
          <w:tcPr>
            <w:tcW w:w="4788" w:type="dxa"/>
            <w:noWrap w:val="0"/>
            <w:vAlign w:val="center"/>
          </w:tcPr>
          <w:p w14:paraId="75A8AA2F">
            <w:pPr>
              <w:keepNext w:val="0"/>
              <w:keepLines w:val="0"/>
              <w:pageBreakBefore w:val="0"/>
              <w:widowControl/>
              <w:suppressLineNumbers w:val="0"/>
              <w:kinsoku/>
              <w:wordWrap/>
              <w:overflowPunct/>
              <w:topLinePunct w:val="0"/>
              <w:autoSpaceDE/>
              <w:autoSpaceDN/>
              <w:bidi w:val="0"/>
              <w:adjustRightInd/>
              <w:snapToGrid/>
              <w:spacing w:line="370" w:lineRule="exact"/>
              <w:jc w:val="left"/>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游离甲醛、苯、甲苯+二甲苯、总挥发性有机物、可触及的塑料件中邻苯二甲酸酯增塑剂的限量</w:t>
            </w:r>
          </w:p>
        </w:tc>
        <w:tc>
          <w:tcPr>
            <w:tcW w:w="1117" w:type="dxa"/>
            <w:noWrap w:val="0"/>
            <w:vAlign w:val="center"/>
          </w:tcPr>
          <w:p w14:paraId="4DD798C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5</w:t>
            </w:r>
          </w:p>
        </w:tc>
      </w:tr>
      <w:tr w14:paraId="526BE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37" w:hRule="atLeast"/>
          <w:tblHeader/>
          <w:jc w:val="center"/>
        </w:trPr>
        <w:tc>
          <w:tcPr>
            <w:tcW w:w="1684" w:type="dxa"/>
            <w:vMerge w:val="continue"/>
            <w:noWrap w:val="0"/>
            <w:vAlign w:val="center"/>
          </w:tcPr>
          <w:p w14:paraId="24FBCEDE">
            <w:pPr>
              <w:keepNext w:val="0"/>
              <w:keepLines w:val="0"/>
              <w:pageBreakBefore w:val="0"/>
              <w:widowControl/>
              <w:suppressLineNumbers w:val="0"/>
              <w:kinsoku/>
              <w:wordWrap/>
              <w:overflowPunct/>
              <w:topLinePunct w:val="0"/>
              <w:autoSpaceDE/>
              <w:autoSpaceDN/>
              <w:bidi w:val="0"/>
              <w:adjustRightInd/>
              <w:snapToGrid/>
              <w:spacing w:line="370" w:lineRule="exact"/>
              <w:jc w:val="center"/>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p>
        </w:tc>
        <w:tc>
          <w:tcPr>
            <w:tcW w:w="2088" w:type="dxa"/>
            <w:noWrap w:val="0"/>
            <w:vAlign w:val="center"/>
          </w:tcPr>
          <w:p w14:paraId="1FF14143">
            <w:pPr>
              <w:keepNext w:val="0"/>
              <w:keepLines w:val="0"/>
              <w:pageBreakBefore w:val="0"/>
              <w:widowControl/>
              <w:suppressLineNumbers w:val="0"/>
              <w:kinsoku/>
              <w:wordWrap/>
              <w:overflowPunct/>
              <w:topLinePunct w:val="0"/>
              <w:autoSpaceDE/>
              <w:autoSpaceDN/>
              <w:bidi w:val="0"/>
              <w:adjustRightInd/>
              <w:snapToGrid/>
              <w:spacing w:line="370" w:lineRule="exact"/>
              <w:jc w:val="center"/>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油画棒</w:t>
            </w:r>
          </w:p>
        </w:tc>
        <w:tc>
          <w:tcPr>
            <w:tcW w:w="4788" w:type="dxa"/>
            <w:noWrap w:val="0"/>
            <w:vAlign w:val="center"/>
          </w:tcPr>
          <w:p w14:paraId="5F716AE1">
            <w:pPr>
              <w:keepNext w:val="0"/>
              <w:keepLines w:val="0"/>
              <w:pageBreakBefore w:val="0"/>
              <w:widowControl/>
              <w:suppressLineNumbers w:val="0"/>
              <w:kinsoku/>
              <w:wordWrap/>
              <w:overflowPunct/>
              <w:topLinePunct w:val="0"/>
              <w:autoSpaceDE/>
              <w:autoSpaceDN/>
              <w:bidi w:val="0"/>
              <w:adjustRightInd/>
              <w:snapToGrid/>
              <w:spacing w:line="370" w:lineRule="exact"/>
              <w:jc w:val="left"/>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汞、砷、硒、钡、铅、铬、锑、镉</w:t>
            </w:r>
          </w:p>
        </w:tc>
        <w:tc>
          <w:tcPr>
            <w:tcW w:w="1117" w:type="dxa"/>
            <w:noWrap w:val="0"/>
            <w:vAlign w:val="center"/>
          </w:tcPr>
          <w:p w14:paraId="136A8F3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5</w:t>
            </w:r>
          </w:p>
        </w:tc>
      </w:tr>
      <w:tr w14:paraId="7AE70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37" w:hRule="atLeast"/>
          <w:tblHeader/>
          <w:jc w:val="center"/>
        </w:trPr>
        <w:tc>
          <w:tcPr>
            <w:tcW w:w="1684" w:type="dxa"/>
            <w:vMerge w:val="continue"/>
            <w:noWrap w:val="0"/>
            <w:vAlign w:val="center"/>
          </w:tcPr>
          <w:p w14:paraId="2E986904">
            <w:pPr>
              <w:keepNext w:val="0"/>
              <w:keepLines w:val="0"/>
              <w:pageBreakBefore w:val="0"/>
              <w:widowControl/>
              <w:suppressLineNumbers w:val="0"/>
              <w:kinsoku/>
              <w:wordWrap/>
              <w:overflowPunct/>
              <w:topLinePunct w:val="0"/>
              <w:autoSpaceDE/>
              <w:autoSpaceDN/>
              <w:bidi w:val="0"/>
              <w:adjustRightInd/>
              <w:snapToGrid/>
              <w:spacing w:line="370" w:lineRule="exact"/>
              <w:jc w:val="center"/>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p>
        </w:tc>
        <w:tc>
          <w:tcPr>
            <w:tcW w:w="2088" w:type="dxa"/>
            <w:noWrap w:val="0"/>
            <w:vAlign w:val="center"/>
          </w:tcPr>
          <w:p w14:paraId="142CFA0B">
            <w:pPr>
              <w:keepNext w:val="0"/>
              <w:keepLines w:val="0"/>
              <w:pageBreakBefore w:val="0"/>
              <w:widowControl/>
              <w:suppressLineNumbers w:val="0"/>
              <w:kinsoku/>
              <w:wordWrap/>
              <w:overflowPunct/>
              <w:topLinePunct w:val="0"/>
              <w:autoSpaceDE/>
              <w:autoSpaceDN/>
              <w:bidi w:val="0"/>
              <w:adjustRightInd/>
              <w:snapToGrid/>
              <w:spacing w:line="370" w:lineRule="exact"/>
              <w:jc w:val="center"/>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中性墨水圆珠笔和笔芯</w:t>
            </w:r>
          </w:p>
        </w:tc>
        <w:tc>
          <w:tcPr>
            <w:tcW w:w="4788" w:type="dxa"/>
            <w:noWrap w:val="0"/>
            <w:vAlign w:val="center"/>
          </w:tcPr>
          <w:p w14:paraId="453C019E">
            <w:pPr>
              <w:keepNext w:val="0"/>
              <w:keepLines w:val="0"/>
              <w:pageBreakBefore w:val="0"/>
              <w:widowControl/>
              <w:suppressLineNumbers w:val="0"/>
              <w:kinsoku/>
              <w:wordWrap/>
              <w:overflowPunct/>
              <w:topLinePunct w:val="0"/>
              <w:autoSpaceDE/>
              <w:autoSpaceDN/>
              <w:bidi w:val="0"/>
              <w:adjustRightInd/>
              <w:snapToGrid/>
              <w:spacing w:line="370" w:lineRule="exact"/>
              <w:jc w:val="left"/>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汞、砷、硒、钡、铅、铬、锑、镉、可触及的塑料件中邻苯二甲酸酯增塑剂的限量、笔套安全</w:t>
            </w:r>
          </w:p>
        </w:tc>
        <w:tc>
          <w:tcPr>
            <w:tcW w:w="1117" w:type="dxa"/>
            <w:noWrap w:val="0"/>
            <w:vAlign w:val="center"/>
          </w:tcPr>
          <w:p w14:paraId="1A5CA6D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5</w:t>
            </w:r>
          </w:p>
        </w:tc>
      </w:tr>
      <w:tr w14:paraId="27C12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37" w:hRule="atLeast"/>
          <w:tblHeader/>
          <w:jc w:val="center"/>
        </w:trPr>
        <w:tc>
          <w:tcPr>
            <w:tcW w:w="1684" w:type="dxa"/>
            <w:vMerge w:val="continue"/>
            <w:noWrap w:val="0"/>
            <w:vAlign w:val="center"/>
          </w:tcPr>
          <w:p w14:paraId="3D02784A">
            <w:pPr>
              <w:keepNext w:val="0"/>
              <w:keepLines w:val="0"/>
              <w:pageBreakBefore w:val="0"/>
              <w:widowControl/>
              <w:suppressLineNumbers w:val="0"/>
              <w:kinsoku/>
              <w:wordWrap/>
              <w:overflowPunct/>
              <w:topLinePunct w:val="0"/>
              <w:autoSpaceDE/>
              <w:autoSpaceDN/>
              <w:bidi w:val="0"/>
              <w:adjustRightInd/>
              <w:snapToGrid/>
              <w:spacing w:line="370" w:lineRule="exact"/>
              <w:jc w:val="center"/>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p>
        </w:tc>
        <w:tc>
          <w:tcPr>
            <w:tcW w:w="2088" w:type="dxa"/>
            <w:noWrap w:val="0"/>
            <w:vAlign w:val="center"/>
          </w:tcPr>
          <w:p w14:paraId="2E43F8C4">
            <w:pPr>
              <w:keepNext w:val="0"/>
              <w:keepLines w:val="0"/>
              <w:pageBreakBefore w:val="0"/>
              <w:widowControl/>
              <w:suppressLineNumbers w:val="0"/>
              <w:kinsoku/>
              <w:wordWrap/>
              <w:overflowPunct/>
              <w:topLinePunct w:val="0"/>
              <w:autoSpaceDE/>
              <w:autoSpaceDN/>
              <w:bidi w:val="0"/>
              <w:adjustRightInd/>
              <w:snapToGrid/>
              <w:spacing w:line="370" w:lineRule="exact"/>
              <w:jc w:val="center"/>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油墨圆珠笔和笔芯</w:t>
            </w:r>
          </w:p>
        </w:tc>
        <w:tc>
          <w:tcPr>
            <w:tcW w:w="4788" w:type="dxa"/>
            <w:noWrap w:val="0"/>
            <w:vAlign w:val="center"/>
          </w:tcPr>
          <w:p w14:paraId="26D54BD1">
            <w:pPr>
              <w:keepNext w:val="0"/>
              <w:keepLines w:val="0"/>
              <w:pageBreakBefore w:val="0"/>
              <w:widowControl/>
              <w:suppressLineNumbers w:val="0"/>
              <w:kinsoku/>
              <w:wordWrap/>
              <w:overflowPunct/>
              <w:topLinePunct w:val="0"/>
              <w:autoSpaceDE/>
              <w:autoSpaceDN/>
              <w:bidi w:val="0"/>
              <w:adjustRightInd/>
              <w:snapToGrid/>
              <w:spacing w:line="370" w:lineRule="exact"/>
              <w:jc w:val="left"/>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汞、砷、硒、钡、铅、铬、锑、镉、可触及的塑料件中邻苯二甲酸酯增塑剂的限量、笔套安全</w:t>
            </w:r>
          </w:p>
        </w:tc>
        <w:tc>
          <w:tcPr>
            <w:tcW w:w="1117" w:type="dxa"/>
            <w:noWrap w:val="0"/>
            <w:vAlign w:val="center"/>
          </w:tcPr>
          <w:p w14:paraId="787103C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5</w:t>
            </w:r>
          </w:p>
        </w:tc>
      </w:tr>
      <w:tr w14:paraId="6FCF8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37" w:hRule="atLeast"/>
          <w:tblHeader/>
          <w:jc w:val="center"/>
        </w:trPr>
        <w:tc>
          <w:tcPr>
            <w:tcW w:w="1684" w:type="dxa"/>
            <w:vMerge w:val="continue"/>
            <w:noWrap w:val="0"/>
            <w:vAlign w:val="center"/>
          </w:tcPr>
          <w:p w14:paraId="56A49109">
            <w:pPr>
              <w:keepNext w:val="0"/>
              <w:keepLines w:val="0"/>
              <w:pageBreakBefore w:val="0"/>
              <w:widowControl/>
              <w:suppressLineNumbers w:val="0"/>
              <w:kinsoku/>
              <w:wordWrap/>
              <w:overflowPunct/>
              <w:topLinePunct w:val="0"/>
              <w:autoSpaceDE/>
              <w:autoSpaceDN/>
              <w:bidi w:val="0"/>
              <w:adjustRightInd/>
              <w:snapToGrid/>
              <w:spacing w:line="370" w:lineRule="exact"/>
              <w:jc w:val="center"/>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p>
        </w:tc>
        <w:tc>
          <w:tcPr>
            <w:tcW w:w="2088" w:type="dxa"/>
            <w:noWrap w:val="0"/>
            <w:vAlign w:val="center"/>
          </w:tcPr>
          <w:p w14:paraId="5D9495D8">
            <w:pPr>
              <w:keepNext w:val="0"/>
              <w:keepLines w:val="0"/>
              <w:pageBreakBefore w:val="0"/>
              <w:widowControl/>
              <w:suppressLineNumbers w:val="0"/>
              <w:kinsoku/>
              <w:wordWrap/>
              <w:overflowPunct/>
              <w:topLinePunct w:val="0"/>
              <w:autoSpaceDE/>
              <w:autoSpaceDN/>
              <w:bidi w:val="0"/>
              <w:adjustRightInd/>
              <w:snapToGrid/>
              <w:spacing w:line="370" w:lineRule="exact"/>
              <w:jc w:val="center"/>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修正带</w:t>
            </w:r>
          </w:p>
        </w:tc>
        <w:tc>
          <w:tcPr>
            <w:tcW w:w="4788" w:type="dxa"/>
            <w:noWrap w:val="0"/>
            <w:vAlign w:val="center"/>
          </w:tcPr>
          <w:p w14:paraId="2F8E0C20">
            <w:pPr>
              <w:keepNext w:val="0"/>
              <w:keepLines w:val="0"/>
              <w:pageBreakBefore w:val="0"/>
              <w:widowControl/>
              <w:suppressLineNumbers w:val="0"/>
              <w:kinsoku/>
              <w:wordWrap/>
              <w:overflowPunct/>
              <w:topLinePunct w:val="0"/>
              <w:autoSpaceDE/>
              <w:autoSpaceDN/>
              <w:bidi w:val="0"/>
              <w:adjustRightInd/>
              <w:snapToGrid/>
              <w:spacing w:line="370" w:lineRule="exact"/>
              <w:jc w:val="left"/>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汞、砷、硒、钡、铅、铬、锑、镉、苯的含量</w:t>
            </w:r>
          </w:p>
          <w:p w14:paraId="4E7E6D2F">
            <w:pPr>
              <w:keepNext w:val="0"/>
              <w:keepLines w:val="0"/>
              <w:pageBreakBefore w:val="0"/>
              <w:widowControl/>
              <w:suppressLineNumbers w:val="0"/>
              <w:kinsoku/>
              <w:wordWrap/>
              <w:overflowPunct/>
              <w:topLinePunct w:val="0"/>
              <w:autoSpaceDE/>
              <w:autoSpaceDN/>
              <w:bidi w:val="0"/>
              <w:adjustRightInd/>
              <w:snapToGrid/>
              <w:spacing w:line="370" w:lineRule="exact"/>
              <w:jc w:val="left"/>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氯代烃、可触及的塑料件中邻苯二甲酸酯增塑剂的限量、笔套安全</w:t>
            </w:r>
          </w:p>
        </w:tc>
        <w:tc>
          <w:tcPr>
            <w:tcW w:w="1117" w:type="dxa"/>
            <w:noWrap w:val="0"/>
            <w:vAlign w:val="center"/>
          </w:tcPr>
          <w:p w14:paraId="6A14C07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5</w:t>
            </w:r>
          </w:p>
        </w:tc>
      </w:tr>
      <w:tr w14:paraId="701DD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37" w:hRule="atLeast"/>
          <w:tblHeader/>
          <w:jc w:val="center"/>
        </w:trPr>
        <w:tc>
          <w:tcPr>
            <w:tcW w:w="1684" w:type="dxa"/>
            <w:vMerge w:val="continue"/>
            <w:noWrap w:val="0"/>
            <w:vAlign w:val="center"/>
          </w:tcPr>
          <w:p w14:paraId="1D019464">
            <w:pPr>
              <w:keepNext w:val="0"/>
              <w:keepLines w:val="0"/>
              <w:pageBreakBefore w:val="0"/>
              <w:widowControl/>
              <w:suppressLineNumbers w:val="0"/>
              <w:kinsoku/>
              <w:wordWrap/>
              <w:overflowPunct/>
              <w:topLinePunct w:val="0"/>
              <w:autoSpaceDE/>
              <w:autoSpaceDN/>
              <w:bidi w:val="0"/>
              <w:adjustRightInd/>
              <w:snapToGrid/>
              <w:spacing w:line="370" w:lineRule="exact"/>
              <w:jc w:val="center"/>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p>
        </w:tc>
        <w:tc>
          <w:tcPr>
            <w:tcW w:w="2088" w:type="dxa"/>
            <w:noWrap w:val="0"/>
            <w:vAlign w:val="center"/>
          </w:tcPr>
          <w:p w14:paraId="67BDDFCA">
            <w:pPr>
              <w:keepNext w:val="0"/>
              <w:keepLines w:val="0"/>
              <w:pageBreakBefore w:val="0"/>
              <w:widowControl/>
              <w:suppressLineNumbers w:val="0"/>
              <w:kinsoku/>
              <w:wordWrap/>
              <w:overflowPunct/>
              <w:topLinePunct w:val="0"/>
              <w:autoSpaceDE/>
              <w:autoSpaceDN/>
              <w:bidi w:val="0"/>
              <w:adjustRightInd/>
              <w:snapToGrid/>
              <w:spacing w:line="370" w:lineRule="exact"/>
              <w:jc w:val="center"/>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跳绳</w:t>
            </w:r>
          </w:p>
        </w:tc>
        <w:tc>
          <w:tcPr>
            <w:tcW w:w="4788" w:type="dxa"/>
            <w:noWrap w:val="0"/>
            <w:vAlign w:val="center"/>
          </w:tcPr>
          <w:p w14:paraId="04F502BA">
            <w:pPr>
              <w:keepNext w:val="0"/>
              <w:keepLines w:val="0"/>
              <w:pageBreakBefore w:val="0"/>
              <w:widowControl/>
              <w:suppressLineNumbers w:val="0"/>
              <w:kinsoku/>
              <w:wordWrap/>
              <w:overflowPunct/>
              <w:topLinePunct w:val="0"/>
              <w:autoSpaceDE/>
              <w:autoSpaceDN/>
              <w:bidi w:val="0"/>
              <w:adjustRightInd/>
              <w:snapToGrid/>
              <w:spacing w:line="370" w:lineRule="exact"/>
              <w:jc w:val="left"/>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规格尺寸、质量、结构、可迁移元素</w:t>
            </w:r>
          </w:p>
        </w:tc>
        <w:tc>
          <w:tcPr>
            <w:tcW w:w="1117" w:type="dxa"/>
            <w:noWrap w:val="0"/>
            <w:vAlign w:val="center"/>
          </w:tcPr>
          <w:p w14:paraId="1103452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5</w:t>
            </w:r>
          </w:p>
        </w:tc>
      </w:tr>
      <w:tr w14:paraId="6AFF0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37" w:hRule="atLeast"/>
          <w:tblHeader/>
          <w:jc w:val="center"/>
        </w:trPr>
        <w:tc>
          <w:tcPr>
            <w:tcW w:w="1684" w:type="dxa"/>
            <w:vMerge w:val="restart"/>
            <w:noWrap w:val="0"/>
            <w:vAlign w:val="center"/>
          </w:tcPr>
          <w:p w14:paraId="4C5EFF26">
            <w:pPr>
              <w:keepNext w:val="0"/>
              <w:keepLines w:val="0"/>
              <w:pageBreakBefore w:val="0"/>
              <w:widowControl/>
              <w:suppressLineNumbers w:val="0"/>
              <w:kinsoku/>
              <w:wordWrap/>
              <w:overflowPunct/>
              <w:topLinePunct w:val="0"/>
              <w:autoSpaceDE/>
              <w:autoSpaceDN/>
              <w:bidi w:val="0"/>
              <w:adjustRightInd/>
              <w:snapToGrid/>
              <w:spacing w:line="370" w:lineRule="exact"/>
              <w:jc w:val="center"/>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日化用品</w:t>
            </w:r>
          </w:p>
        </w:tc>
        <w:tc>
          <w:tcPr>
            <w:tcW w:w="2088" w:type="dxa"/>
            <w:shd w:val="clear" w:color="auto" w:fill="auto"/>
            <w:noWrap w:val="0"/>
            <w:vAlign w:val="center"/>
          </w:tcPr>
          <w:p w14:paraId="7BAC8D06">
            <w:pPr>
              <w:keepNext w:val="0"/>
              <w:keepLines w:val="0"/>
              <w:pageBreakBefore w:val="0"/>
              <w:widowControl/>
              <w:suppressLineNumbers w:val="0"/>
              <w:kinsoku/>
              <w:wordWrap/>
              <w:overflowPunct/>
              <w:topLinePunct w:val="0"/>
              <w:autoSpaceDE/>
              <w:autoSpaceDN/>
              <w:bidi w:val="0"/>
              <w:adjustRightInd/>
              <w:snapToGrid/>
              <w:spacing w:line="370" w:lineRule="exact"/>
              <w:jc w:val="center"/>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婴儿纸尿裤</w:t>
            </w:r>
          </w:p>
        </w:tc>
        <w:tc>
          <w:tcPr>
            <w:tcW w:w="4788" w:type="dxa"/>
            <w:shd w:val="clear" w:color="auto" w:fill="auto"/>
            <w:noWrap w:val="0"/>
            <w:vAlign w:val="center"/>
          </w:tcPr>
          <w:p w14:paraId="582F98EE">
            <w:pPr>
              <w:keepNext w:val="0"/>
              <w:keepLines w:val="0"/>
              <w:pageBreakBefore w:val="0"/>
              <w:widowControl/>
              <w:suppressLineNumbers w:val="0"/>
              <w:kinsoku/>
              <w:wordWrap/>
              <w:overflowPunct/>
              <w:topLinePunct w:val="0"/>
              <w:autoSpaceDE/>
              <w:autoSpaceDN/>
              <w:bidi w:val="0"/>
              <w:adjustRightInd/>
              <w:snapToGrid/>
              <w:spacing w:line="370" w:lineRule="exact"/>
              <w:jc w:val="left"/>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条质量偏差、面层附着物、PH值、杂质、防侧漏性能、可迁移性荧光物质、甲醛含量</w:t>
            </w:r>
          </w:p>
        </w:tc>
        <w:tc>
          <w:tcPr>
            <w:tcW w:w="1117" w:type="dxa"/>
            <w:noWrap w:val="0"/>
            <w:vAlign w:val="center"/>
          </w:tcPr>
          <w:p w14:paraId="7E421AD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5</w:t>
            </w:r>
          </w:p>
        </w:tc>
      </w:tr>
      <w:tr w14:paraId="17D3B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37" w:hRule="atLeast"/>
          <w:tblHeader/>
          <w:jc w:val="center"/>
        </w:trPr>
        <w:tc>
          <w:tcPr>
            <w:tcW w:w="1684" w:type="dxa"/>
            <w:vMerge w:val="continue"/>
            <w:noWrap w:val="0"/>
            <w:vAlign w:val="center"/>
          </w:tcPr>
          <w:p w14:paraId="11665179">
            <w:pPr>
              <w:keepNext w:val="0"/>
              <w:keepLines w:val="0"/>
              <w:pageBreakBefore w:val="0"/>
              <w:widowControl/>
              <w:suppressLineNumbers w:val="0"/>
              <w:kinsoku/>
              <w:wordWrap/>
              <w:overflowPunct/>
              <w:topLinePunct w:val="0"/>
              <w:autoSpaceDE/>
              <w:autoSpaceDN/>
              <w:bidi w:val="0"/>
              <w:adjustRightInd/>
              <w:snapToGrid/>
              <w:spacing w:line="370" w:lineRule="exact"/>
              <w:jc w:val="center"/>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p>
        </w:tc>
        <w:tc>
          <w:tcPr>
            <w:tcW w:w="2088" w:type="dxa"/>
            <w:noWrap w:val="0"/>
            <w:vAlign w:val="center"/>
          </w:tcPr>
          <w:p w14:paraId="409EEBAF">
            <w:pPr>
              <w:keepNext w:val="0"/>
              <w:keepLines w:val="0"/>
              <w:pageBreakBefore w:val="0"/>
              <w:widowControl/>
              <w:suppressLineNumbers w:val="0"/>
              <w:kinsoku/>
              <w:wordWrap/>
              <w:overflowPunct/>
              <w:topLinePunct w:val="0"/>
              <w:autoSpaceDE/>
              <w:autoSpaceDN/>
              <w:bidi w:val="0"/>
              <w:adjustRightInd/>
              <w:snapToGrid/>
              <w:spacing w:line="370" w:lineRule="exact"/>
              <w:jc w:val="center"/>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燃香</w:t>
            </w:r>
          </w:p>
        </w:tc>
        <w:tc>
          <w:tcPr>
            <w:tcW w:w="4788" w:type="dxa"/>
            <w:noWrap w:val="0"/>
            <w:vAlign w:val="center"/>
          </w:tcPr>
          <w:p w14:paraId="0F404FF0">
            <w:pPr>
              <w:keepNext w:val="0"/>
              <w:keepLines w:val="0"/>
              <w:pageBreakBefore w:val="0"/>
              <w:widowControl/>
              <w:suppressLineNumbers w:val="0"/>
              <w:kinsoku/>
              <w:wordWrap/>
              <w:overflowPunct/>
              <w:topLinePunct w:val="0"/>
              <w:autoSpaceDE/>
              <w:autoSpaceDN/>
              <w:bidi w:val="0"/>
              <w:adjustRightInd/>
              <w:snapToGrid/>
              <w:spacing w:line="370" w:lineRule="exact"/>
              <w:jc w:val="left"/>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燃烧安全性能、甲醛、铅、镉、汞、铬、砷</w:t>
            </w:r>
          </w:p>
        </w:tc>
        <w:tc>
          <w:tcPr>
            <w:tcW w:w="1117" w:type="dxa"/>
            <w:noWrap w:val="0"/>
            <w:vAlign w:val="center"/>
          </w:tcPr>
          <w:p w14:paraId="16A84B4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4</w:t>
            </w:r>
          </w:p>
        </w:tc>
      </w:tr>
      <w:tr w14:paraId="35774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37" w:hRule="atLeast"/>
          <w:tblHeader/>
          <w:jc w:val="center"/>
        </w:trPr>
        <w:tc>
          <w:tcPr>
            <w:tcW w:w="1684" w:type="dxa"/>
            <w:noWrap w:val="0"/>
            <w:vAlign w:val="center"/>
          </w:tcPr>
          <w:p w14:paraId="7672D479">
            <w:pPr>
              <w:keepNext w:val="0"/>
              <w:keepLines w:val="0"/>
              <w:pageBreakBefore w:val="0"/>
              <w:widowControl/>
              <w:suppressLineNumbers w:val="0"/>
              <w:kinsoku/>
              <w:wordWrap/>
              <w:overflowPunct/>
              <w:topLinePunct w:val="0"/>
              <w:autoSpaceDE/>
              <w:autoSpaceDN/>
              <w:bidi w:val="0"/>
              <w:adjustRightInd/>
              <w:snapToGrid/>
              <w:spacing w:line="370" w:lineRule="exact"/>
              <w:jc w:val="center"/>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儿童玩具</w:t>
            </w:r>
          </w:p>
        </w:tc>
        <w:tc>
          <w:tcPr>
            <w:tcW w:w="2088" w:type="dxa"/>
            <w:noWrap w:val="0"/>
            <w:vAlign w:val="center"/>
          </w:tcPr>
          <w:p w14:paraId="74594D5D">
            <w:pPr>
              <w:keepNext w:val="0"/>
              <w:keepLines w:val="0"/>
              <w:pageBreakBefore w:val="0"/>
              <w:widowControl/>
              <w:suppressLineNumbers w:val="0"/>
              <w:kinsoku/>
              <w:wordWrap/>
              <w:overflowPunct/>
              <w:topLinePunct w:val="0"/>
              <w:autoSpaceDE/>
              <w:autoSpaceDN/>
              <w:bidi w:val="0"/>
              <w:adjustRightInd/>
              <w:snapToGrid/>
              <w:spacing w:line="370" w:lineRule="exact"/>
              <w:jc w:val="center"/>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儿童玩具</w:t>
            </w:r>
          </w:p>
        </w:tc>
        <w:tc>
          <w:tcPr>
            <w:tcW w:w="4788" w:type="dxa"/>
            <w:noWrap w:val="0"/>
            <w:vAlign w:val="center"/>
          </w:tcPr>
          <w:p w14:paraId="3BB5819C">
            <w:pPr>
              <w:keepNext w:val="0"/>
              <w:keepLines w:val="0"/>
              <w:pageBreakBefore w:val="0"/>
              <w:widowControl/>
              <w:suppressLineNumbers w:val="0"/>
              <w:kinsoku/>
              <w:wordWrap/>
              <w:overflowPunct/>
              <w:topLinePunct w:val="0"/>
              <w:autoSpaceDE/>
              <w:autoSpaceDN/>
              <w:bidi w:val="0"/>
              <w:adjustRightInd/>
              <w:snapToGrid/>
              <w:spacing w:line="370" w:lineRule="exact"/>
              <w:jc w:val="left"/>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机械与物理性能（正常使用和可预见的合理滥用）、易燃性能、特定元素的迁移、增塑剂</w:t>
            </w:r>
          </w:p>
        </w:tc>
        <w:tc>
          <w:tcPr>
            <w:tcW w:w="1117" w:type="dxa"/>
            <w:noWrap w:val="0"/>
            <w:vAlign w:val="center"/>
          </w:tcPr>
          <w:p w14:paraId="2F91C13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10</w:t>
            </w:r>
          </w:p>
        </w:tc>
      </w:tr>
      <w:tr w14:paraId="38C25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37" w:hRule="atLeast"/>
          <w:tblHeader/>
          <w:jc w:val="center"/>
        </w:trPr>
        <w:tc>
          <w:tcPr>
            <w:tcW w:w="8560" w:type="dxa"/>
            <w:gridSpan w:val="3"/>
            <w:noWrap w:val="0"/>
            <w:vAlign w:val="center"/>
          </w:tcPr>
          <w:p w14:paraId="14BF85BB">
            <w:pPr>
              <w:keepNext w:val="0"/>
              <w:keepLines w:val="0"/>
              <w:pageBreakBefore w:val="0"/>
              <w:widowControl/>
              <w:suppressLineNumbers w:val="0"/>
              <w:kinsoku/>
              <w:wordWrap/>
              <w:overflowPunct/>
              <w:topLinePunct w:val="0"/>
              <w:autoSpaceDE/>
              <w:autoSpaceDN/>
              <w:bidi w:val="0"/>
              <w:adjustRightInd/>
              <w:snapToGrid/>
              <w:spacing w:line="370" w:lineRule="exact"/>
              <w:jc w:val="center"/>
              <w:textAlignment w:val="center"/>
              <w:rPr>
                <w:rFonts w:hint="eastAsia" w:ascii="宋体" w:hAnsi="宋体" w:eastAsia="宋体" w:cs="宋体"/>
                <w:b/>
                <w:bCs/>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4"/>
                <w:szCs w:val="24"/>
                <w:u w:val="none"/>
                <w:lang w:val="en-US" w:eastAsia="zh-CN" w:bidi="ar"/>
                <w14:textFill>
                  <w14:solidFill>
                    <w14:schemeClr w14:val="tx1"/>
                  </w14:solidFill>
                </w14:textFill>
              </w:rPr>
              <w:t>合计</w:t>
            </w:r>
          </w:p>
        </w:tc>
        <w:tc>
          <w:tcPr>
            <w:tcW w:w="1117" w:type="dxa"/>
            <w:noWrap w:val="0"/>
            <w:vAlign w:val="center"/>
          </w:tcPr>
          <w:p w14:paraId="7741D5D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100</w:t>
            </w:r>
          </w:p>
        </w:tc>
      </w:tr>
    </w:tbl>
    <w:p w14:paraId="015D510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8710DE7"/>
    <w:rsid w:val="68710D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2"/>
    <w:basedOn w:val="1"/>
    <w:next w:val="1"/>
    <w:qFormat/>
    <w:uiPriority w:val="0"/>
    <w:pPr>
      <w:keepNext/>
      <w:keepLines/>
      <w:adjustRightInd w:val="0"/>
      <w:spacing w:before="260" w:after="260" w:line="416" w:lineRule="atLeast"/>
      <w:jc w:val="left"/>
      <w:textAlignment w:val="baseline"/>
      <w:outlineLvl w:val="1"/>
    </w:pPr>
    <w:rPr>
      <w:rFonts w:ascii="Arial" w:hAnsi="Arial" w:eastAsia="黑体"/>
      <w:b/>
      <w:kern w:val="0"/>
      <w:sz w:val="32"/>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2026-09-17T08:09:00Z</dcterms:created>
  <dc:creator>admin</dc:creator>
  <cp:lastModifiedBy>admin</cp:lastModifiedBy>
  <dcterms:modified xsi:type="dcterms:W3CDTF">2026-09-17T08:09:32Z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055568E2F4314E5BAB665262E58343F8_11</vt:lpwstr>
  </property>
  <property fmtid="{D5CDD505-2E9C-101B-9397-08002B2CF9AE}" pid="4" name="KSOTemplateDocerSaveRecord">
    <vt:lpwstr>eyJoZGlkIjoiMzBiMGU1YmM2MWZhY2YyNjU1NjA4Mjk5YjQ2ZTU0MzgiLCJ1c2VySWQiOiI3MzcxNjg3NzMifQ==</vt:lpwstr>
  </property>
</Properties>
</file>