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before="0" w:beforeAutospacing="0" w:after="0" w:afterAutospacing="0"/>
        <w:jc w:val="center"/>
        <w:rPr>
          <w:b/>
          <w:bCs/>
          <w:sz w:val="30"/>
          <w:szCs w:val="30"/>
        </w:rPr>
      </w:pPr>
      <w:r>
        <w:rPr>
          <w:rFonts w:hint="eastAsia"/>
          <w:b/>
          <w:bCs/>
          <w:sz w:val="30"/>
          <w:szCs w:val="30"/>
          <w:lang w:val="en-US" w:eastAsia="zh-CN"/>
        </w:rPr>
        <w:t>六安市</w:t>
      </w:r>
      <w:r>
        <w:rPr>
          <w:rFonts w:hint="eastAsia"/>
          <w:b/>
          <w:bCs/>
          <w:sz w:val="30"/>
          <w:szCs w:val="30"/>
        </w:rPr>
        <w:t>地方标准编制说明</w:t>
      </w:r>
    </w:p>
    <w:tbl>
      <w:tblPr>
        <w:tblStyle w:val="6"/>
        <w:tblW w:w="8516"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8"/>
        <w:gridCol w:w="65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trPr>
        <w:tc>
          <w:tcPr>
            <w:tcW w:w="1978" w:type="dxa"/>
            <w:vAlign w:val="center"/>
          </w:tcPr>
          <w:p>
            <w:pPr>
              <w:spacing w:line="720" w:lineRule="auto"/>
              <w:ind w:firstLine="240" w:firstLineChars="100"/>
              <w:rPr>
                <w:rFonts w:ascii="宋体" w:hAnsi="宋体" w:eastAsia="宋体"/>
                <w:sz w:val="24"/>
              </w:rPr>
            </w:pPr>
            <w:r>
              <w:rPr>
                <w:rFonts w:hint="eastAsia" w:ascii="宋体" w:hAnsi="宋体" w:eastAsia="宋体"/>
                <w:sz w:val="24"/>
              </w:rPr>
              <w:t>标准名称</w:t>
            </w:r>
          </w:p>
        </w:tc>
        <w:tc>
          <w:tcPr>
            <w:tcW w:w="6538" w:type="dxa"/>
            <w:vAlign w:val="center"/>
          </w:tcPr>
          <w:p>
            <w:pPr>
              <w:spacing w:line="720" w:lineRule="auto"/>
              <w:ind w:firstLine="0" w:firstLineChars="0"/>
              <w:rPr>
                <w:rFonts w:ascii="宋体" w:hAnsi="宋体" w:eastAsia="宋体"/>
                <w:sz w:val="24"/>
              </w:rPr>
            </w:pPr>
            <w:r>
              <w:rPr>
                <w:rFonts w:hint="eastAsia" w:ascii="宋体" w:hAnsi="宋体" w:eastAsia="宋体"/>
                <w:sz w:val="24"/>
              </w:rPr>
              <w:t>城乡公交线网规划编制导则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6" w:hRule="atLeast"/>
        </w:trPr>
        <w:tc>
          <w:tcPr>
            <w:tcW w:w="1978" w:type="dxa"/>
            <w:vAlign w:val="center"/>
          </w:tcPr>
          <w:p>
            <w:pPr>
              <w:ind w:firstLine="0" w:firstLineChars="0"/>
              <w:jc w:val="both"/>
              <w:rPr>
                <w:rFonts w:ascii="宋体" w:hAnsi="宋体" w:eastAsia="宋体"/>
                <w:sz w:val="24"/>
              </w:rPr>
            </w:pPr>
            <w:r>
              <w:rPr>
                <w:rFonts w:hint="eastAsia" w:ascii="宋体" w:hAnsi="宋体" w:eastAsia="宋体"/>
                <w:sz w:val="24"/>
              </w:rPr>
              <w:t>任务来源（项目计划号）</w:t>
            </w:r>
            <w:bookmarkStart w:id="0" w:name="_GoBack"/>
            <w:bookmarkEnd w:id="0"/>
          </w:p>
        </w:tc>
        <w:tc>
          <w:tcPr>
            <w:tcW w:w="6538" w:type="dxa"/>
            <w:vAlign w:val="center"/>
          </w:tcPr>
          <w:p>
            <w:pPr>
              <w:ind w:firstLine="0" w:firstLineChars="0"/>
              <w:rPr>
                <w:rFonts w:hint="eastAsia" w:ascii="宋体" w:hAnsi="宋体" w:eastAsia="宋体"/>
                <w:sz w:val="24"/>
                <w:highlight w:val="yellow"/>
                <w:lang w:val="en-US" w:eastAsia="zh-CN"/>
              </w:rPr>
            </w:pPr>
            <w:r>
              <w:rPr>
                <w:rFonts w:hint="eastAsia" w:ascii="宋体" w:hAnsi="宋体" w:eastAsia="宋体"/>
                <w:sz w:val="24"/>
                <w:highlight w:val="none"/>
                <w:lang w:val="en-US" w:eastAsia="zh-CN"/>
              </w:rPr>
              <w:t>2024</w:t>
            </w:r>
            <w:r>
              <w:rPr>
                <w:rFonts w:hint="eastAsia" w:ascii="宋体" w:hAnsi="宋体" w:eastAsia="宋体"/>
                <w:sz w:val="24"/>
                <w:highlight w:val="none"/>
              </w:rPr>
              <w:t>—</w:t>
            </w:r>
            <w:r>
              <w:rPr>
                <w:rFonts w:hint="eastAsia" w:ascii="宋体" w:hAnsi="宋体" w:eastAsia="宋体"/>
                <w:sz w:val="24"/>
                <w:highlight w:val="none"/>
                <w:lang w:val="en-US" w:eastAsia="zh-CN"/>
              </w:rPr>
              <w:t>1</w:t>
            </w:r>
            <w:r>
              <w:rPr>
                <w:rFonts w:hint="eastAsia" w:ascii="宋体" w:hAnsi="宋体" w:eastAsia="宋体"/>
                <w:sz w:val="24"/>
                <w:highlight w:val="none"/>
              </w:rPr>
              <w:t>—</w:t>
            </w:r>
            <w:r>
              <w:rPr>
                <w:rFonts w:hint="eastAsia" w:ascii="宋体" w:hAnsi="宋体" w:eastAsia="宋体"/>
                <w:sz w:val="24"/>
                <w:highlight w:val="none"/>
                <w:lang w:val="en-US" w:eastAsia="zh-CN"/>
              </w:rPr>
              <w:t>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978" w:type="dxa"/>
            <w:vAlign w:val="center"/>
          </w:tcPr>
          <w:p>
            <w:pPr>
              <w:spacing w:line="360" w:lineRule="auto"/>
              <w:ind w:firstLine="0" w:firstLineChars="0"/>
              <w:jc w:val="center"/>
              <w:rPr>
                <w:rFonts w:ascii="宋体" w:hAnsi="宋体" w:eastAsia="宋体"/>
                <w:sz w:val="24"/>
              </w:rPr>
            </w:pPr>
            <w:r>
              <w:rPr>
                <w:rFonts w:hint="eastAsia" w:ascii="宋体" w:hAnsi="宋体" w:eastAsia="宋体"/>
                <w:sz w:val="24"/>
              </w:rPr>
              <w:t>负责起草单位</w:t>
            </w:r>
          </w:p>
        </w:tc>
        <w:tc>
          <w:tcPr>
            <w:tcW w:w="6538" w:type="dxa"/>
            <w:vAlign w:val="center"/>
          </w:tcPr>
          <w:p>
            <w:pPr>
              <w:ind w:firstLine="0" w:firstLineChars="0"/>
              <w:rPr>
                <w:rFonts w:ascii="宋体" w:hAnsi="宋体" w:eastAsia="宋体"/>
                <w:sz w:val="24"/>
              </w:rPr>
            </w:pPr>
            <w:r>
              <w:rPr>
                <w:rFonts w:hint="eastAsia" w:ascii="宋体" w:hAnsi="宋体" w:eastAsia="宋体"/>
                <w:sz w:val="24"/>
              </w:rPr>
              <w:t>六安市城市客运管理中心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978" w:type="dxa"/>
            <w:vAlign w:val="center"/>
          </w:tcPr>
          <w:p>
            <w:pPr>
              <w:spacing w:line="360" w:lineRule="auto"/>
              <w:ind w:firstLine="0" w:firstLineChars="0"/>
              <w:jc w:val="center"/>
              <w:rPr>
                <w:rFonts w:ascii="宋体" w:hAnsi="宋体" w:eastAsia="宋体"/>
                <w:sz w:val="24"/>
              </w:rPr>
            </w:pPr>
            <w:r>
              <w:rPr>
                <w:rFonts w:hint="eastAsia" w:ascii="宋体" w:hAnsi="宋体" w:eastAsia="宋体"/>
                <w:sz w:val="24"/>
              </w:rPr>
              <w:t>单位地址</w:t>
            </w:r>
          </w:p>
        </w:tc>
        <w:tc>
          <w:tcPr>
            <w:tcW w:w="6538" w:type="dxa"/>
            <w:vAlign w:val="center"/>
          </w:tcPr>
          <w:p>
            <w:pPr>
              <w:ind w:firstLine="0" w:firstLineChars="0"/>
              <w:rPr>
                <w:rFonts w:ascii="宋体" w:hAnsi="宋体" w:eastAsia="宋体"/>
                <w:sz w:val="24"/>
              </w:rPr>
            </w:pPr>
            <w:r>
              <w:rPr>
                <w:rFonts w:hint="eastAsia" w:ascii="宋体" w:hAnsi="宋体" w:eastAsia="宋体"/>
                <w:sz w:val="24"/>
              </w:rPr>
              <w:t>安徽省六安市金安区梅山中路177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trPr>
        <w:tc>
          <w:tcPr>
            <w:tcW w:w="1978" w:type="dxa"/>
            <w:vAlign w:val="center"/>
          </w:tcPr>
          <w:p>
            <w:pPr>
              <w:spacing w:line="360" w:lineRule="auto"/>
              <w:ind w:firstLine="0" w:firstLineChars="0"/>
              <w:jc w:val="center"/>
              <w:rPr>
                <w:rFonts w:ascii="宋体" w:hAnsi="宋体" w:eastAsia="宋体"/>
                <w:sz w:val="24"/>
              </w:rPr>
            </w:pPr>
            <w:r>
              <w:rPr>
                <w:rFonts w:hint="eastAsia" w:ascii="宋体" w:hAnsi="宋体" w:eastAsia="宋体"/>
                <w:sz w:val="24"/>
              </w:rPr>
              <w:t>参与起草单位</w:t>
            </w:r>
          </w:p>
        </w:tc>
        <w:tc>
          <w:tcPr>
            <w:tcW w:w="6538" w:type="dxa"/>
            <w:vAlign w:val="center"/>
          </w:tcPr>
          <w:p>
            <w:pPr>
              <w:ind w:firstLine="0" w:firstLineChars="0"/>
              <w:jc w:val="both"/>
              <w:rPr>
                <w:rFonts w:hint="eastAsia" w:ascii="宋体" w:hAnsi="宋体" w:eastAsia="宋体"/>
                <w:sz w:val="24"/>
                <w:lang w:val="en-US" w:eastAsia="zh-CN"/>
              </w:rPr>
            </w:pPr>
            <w:r>
              <w:rPr>
                <w:rFonts w:hint="eastAsia" w:ascii="宋体" w:hAnsi="宋体" w:eastAsia="宋体"/>
                <w:sz w:val="24"/>
              </w:rPr>
              <w:t>合肥大学、六安市惠民公共交通有限责任公司</w:t>
            </w:r>
            <w:r>
              <w:rPr>
                <w:rFonts w:hint="eastAsia" w:ascii="宋体" w:hAnsi="宋体" w:eastAsia="宋体"/>
                <w:sz w:val="24"/>
                <w:lang w:eastAsia="zh-CN"/>
              </w:rPr>
              <w:t>、北京城规智交规划设计有限公司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trPr>
        <w:tc>
          <w:tcPr>
            <w:tcW w:w="8516" w:type="dxa"/>
            <w:gridSpan w:val="2"/>
            <w:vAlign w:val="center"/>
          </w:tcPr>
          <w:p>
            <w:pPr>
              <w:spacing w:line="720" w:lineRule="auto"/>
              <w:ind w:firstLine="0" w:firstLineChars="0"/>
              <w:jc w:val="center"/>
              <w:rPr>
                <w:rFonts w:ascii="宋体" w:hAnsi="宋体" w:eastAsia="宋体"/>
                <w:b/>
                <w:bCs/>
                <w:sz w:val="24"/>
              </w:rPr>
            </w:pPr>
            <w:r>
              <w:rPr>
                <w:rFonts w:hint="eastAsia" w:ascii="宋体" w:hAnsi="宋体" w:eastAsia="宋体"/>
                <w:b/>
                <w:bCs/>
                <w:sz w:val="24"/>
              </w:rPr>
              <w:t>标准起草人</w:t>
            </w:r>
          </w:p>
        </w:tc>
      </w:tr>
    </w:tbl>
    <w:tbl>
      <w:tblPr>
        <w:tblStyle w:val="5"/>
        <w:tblW w:w="8516" w:type="dxa"/>
        <w:tblInd w:w="0" w:type="dxa"/>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995"/>
        <w:gridCol w:w="2961"/>
        <w:gridCol w:w="950"/>
        <w:gridCol w:w="1303"/>
        <w:gridCol w:w="1537"/>
      </w:tblGrid>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770" w:type="dxa"/>
            <w:vAlign w:val="center"/>
          </w:tcPr>
          <w:p>
            <w:pPr>
              <w:spacing w:line="360" w:lineRule="auto"/>
              <w:ind w:firstLine="0" w:firstLineChars="0"/>
              <w:jc w:val="center"/>
              <w:rPr>
                <w:rFonts w:ascii="宋体" w:hAnsi="宋体" w:eastAsia="宋体"/>
                <w:sz w:val="24"/>
              </w:rPr>
            </w:pPr>
            <w:r>
              <w:rPr>
                <w:rFonts w:hint="eastAsia" w:ascii="宋体" w:hAnsi="宋体" w:eastAsia="宋体"/>
                <w:sz w:val="24"/>
              </w:rPr>
              <w:t>序号</w:t>
            </w:r>
          </w:p>
        </w:tc>
        <w:tc>
          <w:tcPr>
            <w:tcW w:w="995" w:type="dxa"/>
            <w:vAlign w:val="center"/>
          </w:tcPr>
          <w:p>
            <w:pPr>
              <w:spacing w:line="360" w:lineRule="auto"/>
              <w:ind w:firstLine="0" w:firstLineChars="0"/>
              <w:jc w:val="center"/>
              <w:rPr>
                <w:rFonts w:ascii="宋体" w:hAnsi="宋体" w:eastAsia="宋体"/>
                <w:sz w:val="24"/>
              </w:rPr>
            </w:pPr>
            <w:r>
              <w:rPr>
                <w:rFonts w:hint="eastAsia" w:ascii="宋体" w:hAnsi="宋体" w:eastAsia="宋体"/>
                <w:sz w:val="24"/>
              </w:rPr>
              <w:t>姓名</w:t>
            </w:r>
          </w:p>
        </w:tc>
        <w:tc>
          <w:tcPr>
            <w:tcW w:w="2961" w:type="dxa"/>
            <w:vAlign w:val="center"/>
          </w:tcPr>
          <w:p>
            <w:pPr>
              <w:spacing w:line="360" w:lineRule="auto"/>
              <w:ind w:firstLine="0" w:firstLineChars="0"/>
              <w:jc w:val="center"/>
              <w:rPr>
                <w:rFonts w:ascii="宋体" w:hAnsi="宋体" w:eastAsia="宋体"/>
                <w:sz w:val="24"/>
              </w:rPr>
            </w:pPr>
            <w:r>
              <w:rPr>
                <w:rFonts w:hint="eastAsia" w:ascii="宋体" w:hAnsi="宋体" w:eastAsia="宋体"/>
                <w:sz w:val="24"/>
              </w:rPr>
              <w:t>单位</w:t>
            </w:r>
          </w:p>
        </w:tc>
        <w:tc>
          <w:tcPr>
            <w:tcW w:w="950" w:type="dxa"/>
            <w:vAlign w:val="center"/>
          </w:tcPr>
          <w:p>
            <w:pPr>
              <w:spacing w:line="360" w:lineRule="auto"/>
              <w:ind w:firstLine="0" w:firstLineChars="0"/>
              <w:jc w:val="center"/>
              <w:rPr>
                <w:rFonts w:ascii="宋体" w:hAnsi="宋体" w:eastAsia="宋体"/>
                <w:sz w:val="24"/>
              </w:rPr>
            </w:pPr>
            <w:r>
              <w:rPr>
                <w:rFonts w:hint="eastAsia" w:ascii="宋体" w:hAnsi="宋体" w:eastAsia="宋体"/>
                <w:sz w:val="24"/>
              </w:rPr>
              <w:t>职务</w:t>
            </w:r>
          </w:p>
        </w:tc>
        <w:tc>
          <w:tcPr>
            <w:tcW w:w="1303" w:type="dxa"/>
            <w:vAlign w:val="center"/>
          </w:tcPr>
          <w:p>
            <w:pPr>
              <w:spacing w:line="360" w:lineRule="auto"/>
              <w:ind w:firstLine="0" w:firstLineChars="0"/>
              <w:jc w:val="center"/>
              <w:rPr>
                <w:rFonts w:ascii="宋体" w:hAnsi="宋体" w:eastAsia="宋体"/>
                <w:sz w:val="24"/>
              </w:rPr>
            </w:pPr>
            <w:r>
              <w:rPr>
                <w:rFonts w:hint="eastAsia" w:ascii="宋体" w:hAnsi="宋体" w:eastAsia="宋体"/>
                <w:sz w:val="24"/>
              </w:rPr>
              <w:t>职称</w:t>
            </w:r>
          </w:p>
        </w:tc>
        <w:tc>
          <w:tcPr>
            <w:tcW w:w="1537" w:type="dxa"/>
            <w:vAlign w:val="center"/>
          </w:tcPr>
          <w:p>
            <w:pPr>
              <w:spacing w:line="360" w:lineRule="auto"/>
              <w:ind w:firstLine="0" w:firstLineChars="0"/>
              <w:jc w:val="center"/>
              <w:rPr>
                <w:rFonts w:ascii="宋体" w:hAnsi="宋体" w:eastAsia="宋体"/>
                <w:sz w:val="24"/>
              </w:rPr>
            </w:pPr>
            <w:r>
              <w:rPr>
                <w:rFonts w:hint="eastAsia" w:ascii="宋体" w:hAnsi="宋体" w:eastAsia="宋体"/>
                <w:sz w:val="24"/>
              </w:rPr>
              <w:t>电话</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770" w:type="dxa"/>
            <w:vAlign w:val="center"/>
          </w:tcPr>
          <w:p>
            <w:pPr>
              <w:spacing w:line="360" w:lineRule="auto"/>
              <w:ind w:firstLine="0" w:firstLineChars="0"/>
              <w:jc w:val="center"/>
              <w:rPr>
                <w:rFonts w:ascii="宋体" w:hAnsi="宋体" w:eastAsia="宋体"/>
                <w:szCs w:val="21"/>
              </w:rPr>
            </w:pPr>
            <w:r>
              <w:rPr>
                <w:rFonts w:hint="eastAsia" w:ascii="宋体" w:hAnsi="宋体" w:eastAsia="宋体"/>
                <w:szCs w:val="21"/>
              </w:rPr>
              <w:t>1</w:t>
            </w:r>
          </w:p>
        </w:tc>
        <w:tc>
          <w:tcPr>
            <w:tcW w:w="995" w:type="dxa"/>
            <w:vAlign w:val="center"/>
          </w:tcPr>
          <w:p>
            <w:pPr>
              <w:spacing w:line="360" w:lineRule="auto"/>
              <w:ind w:firstLine="0" w:firstLineChars="0"/>
              <w:jc w:val="center"/>
              <w:rPr>
                <w:rFonts w:ascii="宋体" w:hAnsi="宋体" w:eastAsia="宋体"/>
                <w:szCs w:val="21"/>
                <w:highlight w:val="yellow"/>
              </w:rPr>
            </w:pPr>
          </w:p>
        </w:tc>
        <w:tc>
          <w:tcPr>
            <w:tcW w:w="2961" w:type="dxa"/>
            <w:vAlign w:val="center"/>
          </w:tcPr>
          <w:p>
            <w:pPr>
              <w:spacing w:line="360" w:lineRule="auto"/>
              <w:ind w:firstLine="0" w:firstLineChars="0"/>
              <w:jc w:val="center"/>
              <w:rPr>
                <w:rFonts w:ascii="宋体" w:hAnsi="宋体" w:eastAsia="宋体"/>
                <w:szCs w:val="21"/>
                <w:highlight w:val="yellow"/>
              </w:rPr>
            </w:pPr>
          </w:p>
        </w:tc>
        <w:tc>
          <w:tcPr>
            <w:tcW w:w="950" w:type="dxa"/>
            <w:vAlign w:val="center"/>
          </w:tcPr>
          <w:p>
            <w:pPr>
              <w:spacing w:line="360" w:lineRule="auto"/>
              <w:ind w:firstLine="0" w:firstLineChars="0"/>
              <w:jc w:val="center"/>
              <w:rPr>
                <w:rFonts w:ascii="宋体" w:hAnsi="宋体" w:eastAsia="宋体"/>
                <w:szCs w:val="21"/>
                <w:highlight w:val="yellow"/>
              </w:rPr>
            </w:pPr>
          </w:p>
        </w:tc>
        <w:tc>
          <w:tcPr>
            <w:tcW w:w="1303" w:type="dxa"/>
            <w:vAlign w:val="center"/>
          </w:tcPr>
          <w:p>
            <w:pPr>
              <w:spacing w:line="360" w:lineRule="auto"/>
              <w:ind w:firstLine="0" w:firstLineChars="0"/>
              <w:jc w:val="center"/>
              <w:rPr>
                <w:rFonts w:ascii="宋体" w:hAnsi="宋体" w:eastAsia="宋体"/>
                <w:szCs w:val="21"/>
                <w:highlight w:val="yellow"/>
              </w:rPr>
            </w:pPr>
          </w:p>
        </w:tc>
        <w:tc>
          <w:tcPr>
            <w:tcW w:w="1537" w:type="dxa"/>
            <w:vAlign w:val="center"/>
          </w:tcPr>
          <w:p>
            <w:pPr>
              <w:spacing w:line="360" w:lineRule="auto"/>
              <w:ind w:firstLine="0" w:firstLineChars="0"/>
              <w:jc w:val="center"/>
              <w:rPr>
                <w:rFonts w:ascii="宋体" w:hAnsi="宋体" w:eastAsia="宋体"/>
                <w:szCs w:val="21"/>
                <w:highlight w:val="yellow"/>
              </w:rPr>
            </w:pP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770" w:type="dxa"/>
            <w:vAlign w:val="center"/>
          </w:tcPr>
          <w:p>
            <w:pPr>
              <w:spacing w:line="360" w:lineRule="auto"/>
              <w:ind w:firstLine="0" w:firstLineChars="0"/>
              <w:jc w:val="center"/>
              <w:rPr>
                <w:rFonts w:ascii="宋体" w:hAnsi="宋体" w:eastAsia="宋体"/>
                <w:szCs w:val="21"/>
              </w:rPr>
            </w:pPr>
            <w:r>
              <w:rPr>
                <w:rFonts w:hint="eastAsia" w:ascii="宋体" w:hAnsi="宋体" w:eastAsia="宋体"/>
                <w:szCs w:val="21"/>
              </w:rPr>
              <w:t>2</w:t>
            </w:r>
          </w:p>
        </w:tc>
        <w:tc>
          <w:tcPr>
            <w:tcW w:w="995" w:type="dxa"/>
            <w:vAlign w:val="center"/>
          </w:tcPr>
          <w:p>
            <w:pPr>
              <w:spacing w:line="360" w:lineRule="auto"/>
              <w:ind w:firstLine="0" w:firstLineChars="0"/>
              <w:jc w:val="center"/>
              <w:rPr>
                <w:rFonts w:ascii="宋体" w:hAnsi="宋体" w:eastAsia="宋体"/>
                <w:szCs w:val="21"/>
                <w:highlight w:val="yellow"/>
              </w:rPr>
            </w:pPr>
          </w:p>
        </w:tc>
        <w:tc>
          <w:tcPr>
            <w:tcW w:w="2961" w:type="dxa"/>
            <w:vAlign w:val="center"/>
          </w:tcPr>
          <w:p>
            <w:pPr>
              <w:spacing w:line="360" w:lineRule="auto"/>
              <w:ind w:firstLine="0" w:firstLineChars="0"/>
              <w:jc w:val="center"/>
              <w:rPr>
                <w:rFonts w:ascii="宋体" w:hAnsi="宋体" w:eastAsia="宋体"/>
                <w:szCs w:val="21"/>
                <w:highlight w:val="yellow"/>
              </w:rPr>
            </w:pPr>
          </w:p>
        </w:tc>
        <w:tc>
          <w:tcPr>
            <w:tcW w:w="950" w:type="dxa"/>
            <w:vAlign w:val="center"/>
          </w:tcPr>
          <w:p>
            <w:pPr>
              <w:spacing w:line="360" w:lineRule="auto"/>
              <w:ind w:firstLine="0" w:firstLineChars="0"/>
              <w:jc w:val="center"/>
              <w:rPr>
                <w:rFonts w:ascii="宋体" w:hAnsi="宋体" w:eastAsia="宋体"/>
                <w:szCs w:val="21"/>
                <w:highlight w:val="yellow"/>
              </w:rPr>
            </w:pPr>
          </w:p>
        </w:tc>
        <w:tc>
          <w:tcPr>
            <w:tcW w:w="1303" w:type="dxa"/>
            <w:vAlign w:val="center"/>
          </w:tcPr>
          <w:p>
            <w:pPr>
              <w:spacing w:line="360" w:lineRule="auto"/>
              <w:ind w:firstLine="0" w:firstLineChars="0"/>
              <w:jc w:val="center"/>
              <w:rPr>
                <w:rFonts w:ascii="宋体" w:hAnsi="宋体" w:eastAsia="宋体"/>
                <w:szCs w:val="21"/>
                <w:highlight w:val="yellow"/>
              </w:rPr>
            </w:pPr>
          </w:p>
        </w:tc>
        <w:tc>
          <w:tcPr>
            <w:tcW w:w="1537" w:type="dxa"/>
            <w:vAlign w:val="center"/>
          </w:tcPr>
          <w:p>
            <w:pPr>
              <w:spacing w:line="360" w:lineRule="auto"/>
              <w:ind w:firstLine="0" w:firstLineChars="0"/>
              <w:jc w:val="center"/>
              <w:rPr>
                <w:rFonts w:ascii="宋体" w:hAnsi="宋体" w:eastAsia="宋体"/>
                <w:szCs w:val="21"/>
                <w:highlight w:val="yellow"/>
              </w:rPr>
            </w:pP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770" w:type="dxa"/>
            <w:vAlign w:val="center"/>
          </w:tcPr>
          <w:p>
            <w:pPr>
              <w:spacing w:line="360" w:lineRule="auto"/>
              <w:ind w:firstLine="0" w:firstLineChars="0"/>
              <w:jc w:val="center"/>
              <w:rPr>
                <w:rFonts w:ascii="宋体" w:hAnsi="宋体" w:eastAsia="宋体"/>
                <w:szCs w:val="21"/>
              </w:rPr>
            </w:pPr>
            <w:r>
              <w:rPr>
                <w:rFonts w:hint="eastAsia" w:ascii="宋体" w:hAnsi="宋体" w:eastAsia="宋体"/>
                <w:szCs w:val="21"/>
              </w:rPr>
              <w:t>3</w:t>
            </w:r>
          </w:p>
        </w:tc>
        <w:tc>
          <w:tcPr>
            <w:tcW w:w="995" w:type="dxa"/>
            <w:vAlign w:val="center"/>
          </w:tcPr>
          <w:p>
            <w:pPr>
              <w:spacing w:line="360" w:lineRule="auto"/>
              <w:ind w:firstLine="0" w:firstLineChars="0"/>
              <w:jc w:val="center"/>
              <w:rPr>
                <w:rFonts w:ascii="宋体" w:hAnsi="宋体" w:eastAsia="宋体"/>
                <w:szCs w:val="21"/>
                <w:highlight w:val="yellow"/>
              </w:rPr>
            </w:pPr>
          </w:p>
        </w:tc>
        <w:tc>
          <w:tcPr>
            <w:tcW w:w="2961" w:type="dxa"/>
            <w:vAlign w:val="center"/>
          </w:tcPr>
          <w:p>
            <w:pPr>
              <w:spacing w:line="360" w:lineRule="auto"/>
              <w:ind w:firstLine="0" w:firstLineChars="0"/>
              <w:jc w:val="center"/>
              <w:rPr>
                <w:rFonts w:ascii="宋体" w:hAnsi="宋体" w:eastAsia="宋体"/>
                <w:szCs w:val="21"/>
                <w:highlight w:val="yellow"/>
              </w:rPr>
            </w:pPr>
          </w:p>
        </w:tc>
        <w:tc>
          <w:tcPr>
            <w:tcW w:w="950" w:type="dxa"/>
            <w:vAlign w:val="center"/>
          </w:tcPr>
          <w:p>
            <w:pPr>
              <w:spacing w:line="360" w:lineRule="auto"/>
              <w:ind w:firstLine="0" w:firstLineChars="0"/>
              <w:jc w:val="center"/>
              <w:rPr>
                <w:rFonts w:ascii="宋体" w:hAnsi="宋体" w:eastAsia="宋体"/>
                <w:szCs w:val="21"/>
                <w:highlight w:val="yellow"/>
              </w:rPr>
            </w:pPr>
          </w:p>
        </w:tc>
        <w:tc>
          <w:tcPr>
            <w:tcW w:w="1303" w:type="dxa"/>
            <w:vAlign w:val="center"/>
          </w:tcPr>
          <w:p>
            <w:pPr>
              <w:spacing w:line="360" w:lineRule="auto"/>
              <w:ind w:firstLine="0" w:firstLineChars="0"/>
              <w:jc w:val="center"/>
              <w:rPr>
                <w:rFonts w:ascii="宋体" w:hAnsi="宋体" w:eastAsia="宋体"/>
                <w:szCs w:val="21"/>
                <w:highlight w:val="yellow"/>
              </w:rPr>
            </w:pPr>
          </w:p>
        </w:tc>
        <w:tc>
          <w:tcPr>
            <w:tcW w:w="1537" w:type="dxa"/>
            <w:vAlign w:val="center"/>
          </w:tcPr>
          <w:p>
            <w:pPr>
              <w:spacing w:line="360" w:lineRule="auto"/>
              <w:ind w:firstLine="0" w:firstLineChars="0"/>
              <w:jc w:val="center"/>
              <w:rPr>
                <w:rFonts w:ascii="宋体" w:hAnsi="宋体" w:eastAsia="宋体"/>
                <w:szCs w:val="21"/>
                <w:highlight w:val="yellow"/>
              </w:rPr>
            </w:pP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770" w:type="dxa"/>
            <w:vAlign w:val="center"/>
          </w:tcPr>
          <w:p>
            <w:pPr>
              <w:spacing w:line="360" w:lineRule="auto"/>
              <w:ind w:firstLine="0" w:firstLineChars="0"/>
              <w:jc w:val="center"/>
              <w:rPr>
                <w:rFonts w:ascii="宋体" w:hAnsi="宋体" w:eastAsia="宋体"/>
                <w:szCs w:val="21"/>
              </w:rPr>
            </w:pPr>
            <w:r>
              <w:rPr>
                <w:rFonts w:hint="eastAsia" w:ascii="宋体" w:hAnsi="宋体" w:eastAsia="宋体"/>
                <w:szCs w:val="21"/>
              </w:rPr>
              <w:t>4</w:t>
            </w:r>
          </w:p>
        </w:tc>
        <w:tc>
          <w:tcPr>
            <w:tcW w:w="995" w:type="dxa"/>
            <w:vAlign w:val="center"/>
          </w:tcPr>
          <w:p>
            <w:pPr>
              <w:spacing w:line="360" w:lineRule="auto"/>
              <w:ind w:firstLine="0" w:firstLineChars="0"/>
              <w:jc w:val="center"/>
              <w:rPr>
                <w:rFonts w:ascii="宋体" w:hAnsi="宋体" w:eastAsia="宋体"/>
                <w:szCs w:val="21"/>
                <w:highlight w:val="yellow"/>
              </w:rPr>
            </w:pPr>
          </w:p>
        </w:tc>
        <w:tc>
          <w:tcPr>
            <w:tcW w:w="2961" w:type="dxa"/>
            <w:vAlign w:val="center"/>
          </w:tcPr>
          <w:p>
            <w:pPr>
              <w:spacing w:line="360" w:lineRule="auto"/>
              <w:ind w:firstLine="0" w:firstLineChars="0"/>
              <w:jc w:val="center"/>
              <w:rPr>
                <w:rFonts w:ascii="宋体" w:hAnsi="宋体" w:eastAsia="宋体"/>
                <w:szCs w:val="21"/>
                <w:highlight w:val="yellow"/>
              </w:rPr>
            </w:pPr>
          </w:p>
        </w:tc>
        <w:tc>
          <w:tcPr>
            <w:tcW w:w="950" w:type="dxa"/>
            <w:vAlign w:val="center"/>
          </w:tcPr>
          <w:p>
            <w:pPr>
              <w:spacing w:line="360" w:lineRule="auto"/>
              <w:ind w:firstLine="0" w:firstLineChars="0"/>
              <w:jc w:val="center"/>
              <w:rPr>
                <w:rFonts w:ascii="宋体" w:hAnsi="宋体" w:eastAsia="宋体"/>
                <w:szCs w:val="21"/>
                <w:highlight w:val="yellow"/>
              </w:rPr>
            </w:pPr>
          </w:p>
        </w:tc>
        <w:tc>
          <w:tcPr>
            <w:tcW w:w="1303" w:type="dxa"/>
            <w:vAlign w:val="center"/>
          </w:tcPr>
          <w:p>
            <w:pPr>
              <w:spacing w:line="360" w:lineRule="auto"/>
              <w:ind w:firstLine="0" w:firstLineChars="0"/>
              <w:jc w:val="center"/>
              <w:rPr>
                <w:rFonts w:ascii="宋体" w:hAnsi="宋体" w:eastAsia="宋体"/>
                <w:szCs w:val="21"/>
                <w:highlight w:val="yellow"/>
              </w:rPr>
            </w:pPr>
          </w:p>
        </w:tc>
        <w:tc>
          <w:tcPr>
            <w:tcW w:w="1537" w:type="dxa"/>
            <w:vAlign w:val="center"/>
          </w:tcPr>
          <w:p>
            <w:pPr>
              <w:spacing w:line="360" w:lineRule="auto"/>
              <w:ind w:firstLine="0" w:firstLineChars="0"/>
              <w:jc w:val="center"/>
              <w:rPr>
                <w:rFonts w:ascii="宋体" w:hAnsi="宋体" w:eastAsia="宋体"/>
                <w:szCs w:val="21"/>
                <w:highlight w:val="yellow"/>
              </w:rPr>
            </w:pP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770" w:type="dxa"/>
            <w:vAlign w:val="center"/>
          </w:tcPr>
          <w:p>
            <w:pPr>
              <w:spacing w:line="360" w:lineRule="auto"/>
              <w:ind w:firstLine="0" w:firstLineChars="0"/>
              <w:jc w:val="center"/>
              <w:rPr>
                <w:rFonts w:ascii="宋体" w:hAnsi="宋体" w:eastAsia="宋体"/>
                <w:szCs w:val="21"/>
              </w:rPr>
            </w:pPr>
            <w:r>
              <w:rPr>
                <w:rFonts w:hint="eastAsia" w:ascii="宋体" w:hAnsi="宋体" w:eastAsia="宋体"/>
                <w:szCs w:val="21"/>
              </w:rPr>
              <w:t>5</w:t>
            </w:r>
          </w:p>
        </w:tc>
        <w:tc>
          <w:tcPr>
            <w:tcW w:w="995" w:type="dxa"/>
            <w:vAlign w:val="center"/>
          </w:tcPr>
          <w:p>
            <w:pPr>
              <w:spacing w:line="360" w:lineRule="auto"/>
              <w:ind w:firstLine="0" w:firstLineChars="0"/>
              <w:jc w:val="center"/>
              <w:rPr>
                <w:rFonts w:ascii="宋体" w:hAnsi="宋体" w:eastAsia="宋体"/>
                <w:szCs w:val="21"/>
                <w:highlight w:val="yellow"/>
              </w:rPr>
            </w:pPr>
          </w:p>
        </w:tc>
        <w:tc>
          <w:tcPr>
            <w:tcW w:w="2961" w:type="dxa"/>
            <w:vAlign w:val="center"/>
          </w:tcPr>
          <w:p>
            <w:pPr>
              <w:spacing w:line="360" w:lineRule="auto"/>
              <w:ind w:firstLine="0" w:firstLineChars="0"/>
              <w:jc w:val="center"/>
              <w:rPr>
                <w:rFonts w:ascii="宋体" w:hAnsi="宋体" w:eastAsia="宋体"/>
                <w:szCs w:val="21"/>
                <w:highlight w:val="yellow"/>
              </w:rPr>
            </w:pPr>
          </w:p>
        </w:tc>
        <w:tc>
          <w:tcPr>
            <w:tcW w:w="950" w:type="dxa"/>
            <w:vAlign w:val="center"/>
          </w:tcPr>
          <w:p>
            <w:pPr>
              <w:spacing w:line="360" w:lineRule="auto"/>
              <w:ind w:firstLine="0" w:firstLineChars="0"/>
              <w:jc w:val="center"/>
              <w:rPr>
                <w:rFonts w:ascii="宋体" w:hAnsi="宋体" w:eastAsia="宋体"/>
                <w:szCs w:val="21"/>
                <w:highlight w:val="yellow"/>
              </w:rPr>
            </w:pPr>
          </w:p>
        </w:tc>
        <w:tc>
          <w:tcPr>
            <w:tcW w:w="1303" w:type="dxa"/>
            <w:vAlign w:val="center"/>
          </w:tcPr>
          <w:p>
            <w:pPr>
              <w:spacing w:line="360" w:lineRule="auto"/>
              <w:ind w:firstLine="0" w:firstLineChars="0"/>
              <w:jc w:val="center"/>
              <w:rPr>
                <w:rFonts w:ascii="宋体" w:hAnsi="宋体" w:eastAsia="宋体"/>
                <w:szCs w:val="21"/>
                <w:highlight w:val="yellow"/>
              </w:rPr>
            </w:pPr>
          </w:p>
        </w:tc>
        <w:tc>
          <w:tcPr>
            <w:tcW w:w="1537" w:type="dxa"/>
            <w:vAlign w:val="center"/>
          </w:tcPr>
          <w:p>
            <w:pPr>
              <w:spacing w:line="360" w:lineRule="auto"/>
              <w:ind w:firstLine="0" w:firstLineChars="0"/>
              <w:jc w:val="center"/>
              <w:rPr>
                <w:rFonts w:ascii="宋体" w:hAnsi="宋体" w:eastAsia="宋体"/>
                <w:szCs w:val="21"/>
                <w:highlight w:val="yellow"/>
              </w:rPr>
            </w:pP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770" w:type="dxa"/>
            <w:vAlign w:val="center"/>
          </w:tcPr>
          <w:p>
            <w:pPr>
              <w:spacing w:line="360" w:lineRule="auto"/>
              <w:ind w:firstLine="0" w:firstLineChars="0"/>
              <w:jc w:val="center"/>
              <w:rPr>
                <w:rFonts w:ascii="宋体" w:hAnsi="宋体" w:eastAsia="宋体"/>
                <w:szCs w:val="21"/>
              </w:rPr>
            </w:pPr>
            <w:r>
              <w:rPr>
                <w:rFonts w:hint="eastAsia" w:ascii="宋体" w:hAnsi="宋体" w:eastAsia="宋体"/>
                <w:szCs w:val="21"/>
              </w:rPr>
              <w:t>6</w:t>
            </w:r>
          </w:p>
        </w:tc>
        <w:tc>
          <w:tcPr>
            <w:tcW w:w="995" w:type="dxa"/>
            <w:vAlign w:val="center"/>
          </w:tcPr>
          <w:p>
            <w:pPr>
              <w:spacing w:line="360" w:lineRule="auto"/>
              <w:ind w:firstLine="0" w:firstLineChars="0"/>
              <w:jc w:val="center"/>
              <w:rPr>
                <w:rFonts w:ascii="宋体" w:hAnsi="宋体" w:eastAsia="宋体"/>
                <w:szCs w:val="21"/>
                <w:highlight w:val="yellow"/>
              </w:rPr>
            </w:pPr>
          </w:p>
        </w:tc>
        <w:tc>
          <w:tcPr>
            <w:tcW w:w="2961" w:type="dxa"/>
            <w:vAlign w:val="center"/>
          </w:tcPr>
          <w:p>
            <w:pPr>
              <w:spacing w:line="360" w:lineRule="auto"/>
              <w:ind w:firstLine="0" w:firstLineChars="0"/>
              <w:jc w:val="center"/>
              <w:rPr>
                <w:rFonts w:ascii="宋体" w:hAnsi="宋体" w:eastAsia="宋体"/>
                <w:szCs w:val="21"/>
                <w:highlight w:val="yellow"/>
              </w:rPr>
            </w:pPr>
          </w:p>
        </w:tc>
        <w:tc>
          <w:tcPr>
            <w:tcW w:w="950" w:type="dxa"/>
            <w:vAlign w:val="center"/>
          </w:tcPr>
          <w:p>
            <w:pPr>
              <w:spacing w:line="360" w:lineRule="auto"/>
              <w:ind w:firstLine="0" w:firstLineChars="0"/>
              <w:jc w:val="center"/>
              <w:rPr>
                <w:rFonts w:ascii="宋体" w:hAnsi="宋体" w:eastAsia="宋体"/>
                <w:szCs w:val="21"/>
                <w:highlight w:val="yellow"/>
              </w:rPr>
            </w:pPr>
          </w:p>
        </w:tc>
        <w:tc>
          <w:tcPr>
            <w:tcW w:w="1303" w:type="dxa"/>
            <w:vAlign w:val="center"/>
          </w:tcPr>
          <w:p>
            <w:pPr>
              <w:spacing w:line="360" w:lineRule="auto"/>
              <w:ind w:firstLine="0" w:firstLineChars="0"/>
              <w:jc w:val="center"/>
              <w:rPr>
                <w:rFonts w:ascii="宋体" w:hAnsi="宋体" w:eastAsia="宋体"/>
                <w:szCs w:val="21"/>
                <w:highlight w:val="yellow"/>
              </w:rPr>
            </w:pPr>
          </w:p>
        </w:tc>
        <w:tc>
          <w:tcPr>
            <w:tcW w:w="1537" w:type="dxa"/>
            <w:vAlign w:val="center"/>
          </w:tcPr>
          <w:p>
            <w:pPr>
              <w:spacing w:line="360" w:lineRule="auto"/>
              <w:ind w:firstLine="0" w:firstLineChars="0"/>
              <w:jc w:val="center"/>
              <w:rPr>
                <w:rFonts w:ascii="宋体" w:hAnsi="宋体" w:eastAsia="宋体"/>
                <w:szCs w:val="21"/>
                <w:highlight w:val="yellow"/>
              </w:rPr>
            </w:pP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770" w:type="dxa"/>
            <w:vAlign w:val="center"/>
          </w:tcPr>
          <w:p>
            <w:pPr>
              <w:spacing w:line="360" w:lineRule="auto"/>
              <w:ind w:firstLine="0" w:firstLineChars="0"/>
              <w:jc w:val="center"/>
              <w:rPr>
                <w:rFonts w:ascii="宋体" w:hAnsi="宋体" w:eastAsia="宋体"/>
                <w:szCs w:val="21"/>
              </w:rPr>
            </w:pPr>
            <w:r>
              <w:rPr>
                <w:rFonts w:hint="eastAsia" w:ascii="宋体" w:hAnsi="宋体" w:eastAsia="宋体"/>
                <w:szCs w:val="21"/>
              </w:rPr>
              <w:t>7</w:t>
            </w:r>
          </w:p>
        </w:tc>
        <w:tc>
          <w:tcPr>
            <w:tcW w:w="995" w:type="dxa"/>
            <w:vAlign w:val="center"/>
          </w:tcPr>
          <w:p>
            <w:pPr>
              <w:spacing w:line="360" w:lineRule="auto"/>
              <w:ind w:firstLine="0" w:firstLineChars="0"/>
              <w:jc w:val="center"/>
              <w:rPr>
                <w:rFonts w:ascii="宋体" w:hAnsi="宋体" w:eastAsia="宋体"/>
                <w:szCs w:val="21"/>
                <w:highlight w:val="yellow"/>
              </w:rPr>
            </w:pPr>
          </w:p>
        </w:tc>
        <w:tc>
          <w:tcPr>
            <w:tcW w:w="2961" w:type="dxa"/>
            <w:vAlign w:val="center"/>
          </w:tcPr>
          <w:p>
            <w:pPr>
              <w:spacing w:line="360" w:lineRule="auto"/>
              <w:ind w:firstLine="0" w:firstLineChars="0"/>
              <w:jc w:val="center"/>
              <w:rPr>
                <w:rFonts w:ascii="宋体" w:hAnsi="宋体" w:eastAsia="宋体"/>
                <w:szCs w:val="21"/>
                <w:highlight w:val="yellow"/>
              </w:rPr>
            </w:pPr>
          </w:p>
        </w:tc>
        <w:tc>
          <w:tcPr>
            <w:tcW w:w="950" w:type="dxa"/>
            <w:vAlign w:val="center"/>
          </w:tcPr>
          <w:p>
            <w:pPr>
              <w:spacing w:line="360" w:lineRule="auto"/>
              <w:ind w:firstLine="0" w:firstLineChars="0"/>
              <w:jc w:val="center"/>
              <w:rPr>
                <w:rFonts w:ascii="宋体" w:hAnsi="宋体" w:eastAsia="宋体"/>
                <w:szCs w:val="21"/>
                <w:highlight w:val="yellow"/>
              </w:rPr>
            </w:pPr>
          </w:p>
        </w:tc>
        <w:tc>
          <w:tcPr>
            <w:tcW w:w="1303" w:type="dxa"/>
            <w:vAlign w:val="center"/>
          </w:tcPr>
          <w:p>
            <w:pPr>
              <w:spacing w:line="360" w:lineRule="auto"/>
              <w:ind w:firstLine="0" w:firstLineChars="0"/>
              <w:jc w:val="center"/>
              <w:rPr>
                <w:rFonts w:ascii="宋体" w:hAnsi="宋体" w:eastAsia="宋体"/>
                <w:szCs w:val="21"/>
                <w:highlight w:val="yellow"/>
              </w:rPr>
            </w:pPr>
          </w:p>
        </w:tc>
        <w:tc>
          <w:tcPr>
            <w:tcW w:w="1537" w:type="dxa"/>
            <w:vAlign w:val="center"/>
          </w:tcPr>
          <w:p>
            <w:pPr>
              <w:spacing w:line="360" w:lineRule="auto"/>
              <w:ind w:firstLine="0" w:firstLineChars="0"/>
              <w:jc w:val="center"/>
              <w:rPr>
                <w:rFonts w:ascii="宋体" w:hAnsi="宋体" w:eastAsia="宋体"/>
                <w:szCs w:val="21"/>
                <w:highlight w:val="yellow"/>
              </w:rPr>
            </w:pP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770" w:type="dxa"/>
            <w:tcBorders>
              <w:top w:val="single" w:color="auto" w:sz="4" w:space="0"/>
            </w:tcBorders>
            <w:vAlign w:val="center"/>
          </w:tcPr>
          <w:p>
            <w:pPr>
              <w:spacing w:line="360" w:lineRule="auto"/>
              <w:ind w:firstLine="0" w:firstLineChars="0"/>
              <w:jc w:val="center"/>
              <w:rPr>
                <w:rFonts w:ascii="宋体" w:hAnsi="宋体" w:eastAsia="宋体"/>
                <w:szCs w:val="21"/>
              </w:rPr>
            </w:pPr>
            <w:r>
              <w:rPr>
                <w:rFonts w:hint="eastAsia" w:ascii="宋体" w:hAnsi="宋体" w:eastAsia="宋体"/>
                <w:szCs w:val="21"/>
              </w:rPr>
              <w:t>8</w:t>
            </w:r>
          </w:p>
        </w:tc>
        <w:tc>
          <w:tcPr>
            <w:tcW w:w="995" w:type="dxa"/>
            <w:tcBorders>
              <w:top w:val="single" w:color="auto" w:sz="4" w:space="0"/>
            </w:tcBorders>
            <w:vAlign w:val="center"/>
          </w:tcPr>
          <w:p>
            <w:pPr>
              <w:spacing w:line="360" w:lineRule="auto"/>
              <w:ind w:firstLine="0" w:firstLineChars="0"/>
              <w:jc w:val="center"/>
              <w:rPr>
                <w:rFonts w:ascii="宋体" w:hAnsi="宋体" w:eastAsia="宋体"/>
                <w:szCs w:val="21"/>
                <w:highlight w:val="yellow"/>
              </w:rPr>
            </w:pPr>
          </w:p>
        </w:tc>
        <w:tc>
          <w:tcPr>
            <w:tcW w:w="2961" w:type="dxa"/>
            <w:tcBorders>
              <w:top w:val="single" w:color="auto" w:sz="4" w:space="0"/>
            </w:tcBorders>
            <w:vAlign w:val="center"/>
          </w:tcPr>
          <w:p>
            <w:pPr>
              <w:spacing w:line="360" w:lineRule="auto"/>
              <w:ind w:firstLine="0" w:firstLineChars="0"/>
              <w:jc w:val="center"/>
              <w:rPr>
                <w:rFonts w:ascii="宋体" w:hAnsi="宋体" w:eastAsia="宋体"/>
                <w:szCs w:val="21"/>
                <w:highlight w:val="yellow"/>
              </w:rPr>
            </w:pPr>
          </w:p>
        </w:tc>
        <w:tc>
          <w:tcPr>
            <w:tcW w:w="950" w:type="dxa"/>
            <w:tcBorders>
              <w:top w:val="single" w:color="auto" w:sz="4" w:space="0"/>
            </w:tcBorders>
            <w:vAlign w:val="center"/>
          </w:tcPr>
          <w:p>
            <w:pPr>
              <w:spacing w:line="360" w:lineRule="auto"/>
              <w:ind w:firstLine="0" w:firstLineChars="0"/>
              <w:jc w:val="center"/>
              <w:rPr>
                <w:rFonts w:ascii="宋体" w:hAnsi="宋体" w:eastAsia="宋体"/>
                <w:szCs w:val="21"/>
                <w:highlight w:val="yellow"/>
              </w:rPr>
            </w:pPr>
          </w:p>
        </w:tc>
        <w:tc>
          <w:tcPr>
            <w:tcW w:w="1303" w:type="dxa"/>
            <w:tcBorders>
              <w:top w:val="single" w:color="auto" w:sz="4" w:space="0"/>
            </w:tcBorders>
            <w:vAlign w:val="center"/>
          </w:tcPr>
          <w:p>
            <w:pPr>
              <w:spacing w:line="360" w:lineRule="auto"/>
              <w:ind w:firstLine="0" w:firstLineChars="0"/>
              <w:jc w:val="center"/>
              <w:rPr>
                <w:rFonts w:ascii="宋体" w:hAnsi="宋体" w:eastAsia="宋体"/>
                <w:szCs w:val="21"/>
                <w:highlight w:val="yellow"/>
              </w:rPr>
            </w:pPr>
          </w:p>
        </w:tc>
        <w:tc>
          <w:tcPr>
            <w:tcW w:w="1537" w:type="dxa"/>
            <w:tcBorders>
              <w:top w:val="single" w:color="auto" w:sz="4" w:space="0"/>
            </w:tcBorders>
            <w:vAlign w:val="center"/>
          </w:tcPr>
          <w:p>
            <w:pPr>
              <w:spacing w:line="360" w:lineRule="auto"/>
              <w:ind w:firstLine="0" w:firstLineChars="0"/>
              <w:jc w:val="center"/>
              <w:rPr>
                <w:rFonts w:ascii="宋体" w:hAnsi="宋体" w:eastAsia="宋体"/>
                <w:szCs w:val="21"/>
                <w:highlight w:val="yellow"/>
              </w:rPr>
            </w:pP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770" w:type="dxa"/>
            <w:vAlign w:val="center"/>
          </w:tcPr>
          <w:p>
            <w:pPr>
              <w:spacing w:line="360" w:lineRule="auto"/>
              <w:ind w:firstLine="0" w:firstLineChars="0"/>
              <w:jc w:val="center"/>
              <w:rPr>
                <w:rFonts w:ascii="宋体" w:hAnsi="宋体" w:eastAsia="宋体"/>
                <w:szCs w:val="21"/>
              </w:rPr>
            </w:pPr>
            <w:r>
              <w:rPr>
                <w:rFonts w:hint="eastAsia" w:ascii="宋体" w:hAnsi="宋体" w:eastAsia="宋体"/>
                <w:szCs w:val="21"/>
              </w:rPr>
              <w:t>9</w:t>
            </w:r>
          </w:p>
        </w:tc>
        <w:tc>
          <w:tcPr>
            <w:tcW w:w="995" w:type="dxa"/>
            <w:vAlign w:val="center"/>
          </w:tcPr>
          <w:p>
            <w:pPr>
              <w:spacing w:line="360" w:lineRule="auto"/>
              <w:ind w:firstLine="0" w:firstLineChars="0"/>
              <w:jc w:val="center"/>
              <w:rPr>
                <w:rFonts w:ascii="宋体" w:hAnsi="宋体" w:eastAsia="宋体"/>
                <w:szCs w:val="21"/>
                <w:highlight w:val="yellow"/>
              </w:rPr>
            </w:pPr>
          </w:p>
        </w:tc>
        <w:tc>
          <w:tcPr>
            <w:tcW w:w="2961" w:type="dxa"/>
            <w:vAlign w:val="center"/>
          </w:tcPr>
          <w:p>
            <w:pPr>
              <w:spacing w:line="360" w:lineRule="auto"/>
              <w:ind w:firstLine="0" w:firstLineChars="0"/>
              <w:jc w:val="center"/>
              <w:rPr>
                <w:rFonts w:ascii="宋体" w:hAnsi="宋体" w:eastAsia="宋体"/>
                <w:szCs w:val="21"/>
                <w:highlight w:val="yellow"/>
              </w:rPr>
            </w:pPr>
          </w:p>
        </w:tc>
        <w:tc>
          <w:tcPr>
            <w:tcW w:w="950" w:type="dxa"/>
            <w:vAlign w:val="center"/>
          </w:tcPr>
          <w:p>
            <w:pPr>
              <w:spacing w:line="360" w:lineRule="auto"/>
              <w:ind w:firstLine="0" w:firstLineChars="0"/>
              <w:jc w:val="center"/>
              <w:rPr>
                <w:rFonts w:ascii="宋体" w:hAnsi="宋体" w:eastAsia="宋体"/>
                <w:szCs w:val="21"/>
                <w:highlight w:val="yellow"/>
              </w:rPr>
            </w:pPr>
          </w:p>
        </w:tc>
        <w:tc>
          <w:tcPr>
            <w:tcW w:w="1303" w:type="dxa"/>
            <w:vAlign w:val="center"/>
          </w:tcPr>
          <w:p>
            <w:pPr>
              <w:spacing w:line="360" w:lineRule="auto"/>
              <w:ind w:firstLine="0" w:firstLineChars="0"/>
              <w:jc w:val="center"/>
              <w:rPr>
                <w:rFonts w:ascii="宋体" w:hAnsi="宋体" w:eastAsia="宋体"/>
                <w:szCs w:val="21"/>
                <w:highlight w:val="yellow"/>
              </w:rPr>
            </w:pPr>
          </w:p>
        </w:tc>
        <w:tc>
          <w:tcPr>
            <w:tcW w:w="1537" w:type="dxa"/>
            <w:vAlign w:val="center"/>
          </w:tcPr>
          <w:p>
            <w:pPr>
              <w:spacing w:line="360" w:lineRule="auto"/>
              <w:ind w:firstLine="0" w:firstLineChars="0"/>
              <w:jc w:val="center"/>
              <w:rPr>
                <w:rFonts w:ascii="宋体" w:hAnsi="宋体" w:eastAsia="宋体"/>
                <w:szCs w:val="21"/>
                <w:highlight w:val="yellow"/>
              </w:rPr>
            </w:pP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70" w:type="dxa"/>
            <w:vAlign w:val="center"/>
          </w:tcPr>
          <w:p>
            <w:pPr>
              <w:spacing w:line="360" w:lineRule="auto"/>
              <w:ind w:firstLine="0" w:firstLineChars="0"/>
              <w:jc w:val="center"/>
              <w:rPr>
                <w:rFonts w:ascii="宋体" w:hAnsi="宋体" w:eastAsia="宋体"/>
                <w:szCs w:val="21"/>
              </w:rPr>
            </w:pPr>
            <w:r>
              <w:rPr>
                <w:rFonts w:ascii="宋体" w:hAnsi="宋体" w:eastAsia="宋体"/>
                <w:szCs w:val="21"/>
              </w:rPr>
              <w:t>10</w:t>
            </w:r>
          </w:p>
        </w:tc>
        <w:tc>
          <w:tcPr>
            <w:tcW w:w="995" w:type="dxa"/>
            <w:vAlign w:val="center"/>
          </w:tcPr>
          <w:p>
            <w:pPr>
              <w:spacing w:line="360" w:lineRule="auto"/>
              <w:ind w:firstLine="0" w:firstLineChars="0"/>
              <w:jc w:val="center"/>
              <w:rPr>
                <w:rFonts w:ascii="宋体" w:hAnsi="宋体" w:eastAsia="宋体"/>
                <w:szCs w:val="21"/>
                <w:highlight w:val="yellow"/>
              </w:rPr>
            </w:pPr>
          </w:p>
        </w:tc>
        <w:tc>
          <w:tcPr>
            <w:tcW w:w="2961" w:type="dxa"/>
            <w:vAlign w:val="center"/>
          </w:tcPr>
          <w:p>
            <w:pPr>
              <w:spacing w:line="360" w:lineRule="auto"/>
              <w:ind w:firstLine="0" w:firstLineChars="0"/>
              <w:jc w:val="center"/>
              <w:rPr>
                <w:rFonts w:ascii="宋体" w:hAnsi="宋体" w:eastAsia="宋体"/>
                <w:szCs w:val="21"/>
                <w:highlight w:val="yellow"/>
              </w:rPr>
            </w:pPr>
          </w:p>
        </w:tc>
        <w:tc>
          <w:tcPr>
            <w:tcW w:w="950" w:type="dxa"/>
            <w:vAlign w:val="center"/>
          </w:tcPr>
          <w:p>
            <w:pPr>
              <w:spacing w:line="360" w:lineRule="auto"/>
              <w:ind w:firstLine="0" w:firstLineChars="0"/>
              <w:jc w:val="center"/>
              <w:rPr>
                <w:rFonts w:ascii="宋体" w:hAnsi="宋体" w:eastAsia="宋体"/>
                <w:szCs w:val="21"/>
                <w:highlight w:val="yellow"/>
              </w:rPr>
            </w:pPr>
          </w:p>
        </w:tc>
        <w:tc>
          <w:tcPr>
            <w:tcW w:w="1303" w:type="dxa"/>
            <w:vAlign w:val="center"/>
          </w:tcPr>
          <w:p>
            <w:pPr>
              <w:spacing w:line="360" w:lineRule="auto"/>
              <w:ind w:firstLine="0" w:firstLineChars="0"/>
              <w:jc w:val="center"/>
              <w:rPr>
                <w:rFonts w:ascii="宋体" w:hAnsi="宋体" w:eastAsia="宋体"/>
                <w:szCs w:val="21"/>
                <w:highlight w:val="yellow"/>
              </w:rPr>
            </w:pPr>
          </w:p>
        </w:tc>
        <w:tc>
          <w:tcPr>
            <w:tcW w:w="1537" w:type="dxa"/>
            <w:vAlign w:val="center"/>
          </w:tcPr>
          <w:p>
            <w:pPr>
              <w:spacing w:line="360" w:lineRule="auto"/>
              <w:ind w:firstLine="0" w:firstLineChars="0"/>
              <w:jc w:val="center"/>
              <w:rPr>
                <w:rFonts w:ascii="宋体" w:hAnsi="宋体" w:eastAsia="宋体"/>
                <w:szCs w:val="21"/>
                <w:highlight w:val="yellow"/>
              </w:rPr>
            </w:pP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tcBorders>
          </w:tcPr>
          <w:p>
            <w:pPr>
              <w:spacing w:line="360" w:lineRule="auto"/>
              <w:ind w:firstLine="0" w:firstLineChars="0"/>
              <w:jc w:val="center"/>
              <w:rPr>
                <w:rFonts w:ascii="宋体" w:hAnsi="宋体" w:eastAsia="宋体"/>
                <w:sz w:val="24"/>
              </w:rPr>
            </w:pPr>
            <w:r>
              <w:rPr>
                <w:rFonts w:hint="eastAsia" w:ascii="宋体" w:hAnsi="宋体" w:eastAsia="宋体"/>
                <w:sz w:val="24"/>
              </w:rPr>
              <w:t>编制情况</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bottom w:val="nil"/>
            </w:tcBorders>
          </w:tcPr>
          <w:p>
            <w:pPr>
              <w:pStyle w:val="8"/>
              <w:numPr>
                <w:ilvl w:val="0"/>
                <w:numId w:val="2"/>
              </w:numPr>
              <w:spacing w:line="360" w:lineRule="auto"/>
              <w:ind w:firstLineChars="0"/>
              <w:rPr>
                <w:rFonts w:ascii="宋体" w:hAnsi="宋体" w:eastAsia="宋体"/>
                <w:sz w:val="24"/>
              </w:rPr>
            </w:pPr>
            <w:r>
              <w:rPr>
                <w:rFonts w:hint="eastAsia" w:ascii="宋体" w:hAnsi="宋体" w:eastAsia="宋体"/>
                <w:sz w:val="24"/>
              </w:rPr>
              <w:t>编制过程简介</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tcBorders>
          </w:tcPr>
          <w:p>
            <w:pPr>
              <w:pStyle w:val="4"/>
              <w:spacing w:before="0" w:beforeAutospacing="0" w:after="0" w:afterAutospacing="0" w:line="360" w:lineRule="auto"/>
              <w:ind w:firstLine="442"/>
              <w:jc w:val="both"/>
              <w:rPr>
                <w:rFonts w:hint="eastAsia" w:ascii="Times New Roman" w:hAnsi="Times New Roman" w:eastAsia="宋体" w:cs="Times New Roman"/>
                <w:lang w:val="en-US" w:eastAsia="zh-CN"/>
              </w:rPr>
            </w:pPr>
            <w:r>
              <w:rPr>
                <w:rFonts w:hint="eastAsia" w:ascii="Times New Roman" w:hAnsi="Times New Roman" w:cs="Times New Roman"/>
              </w:rPr>
              <w:t>2024年4月1日，</w:t>
            </w:r>
            <w:r>
              <w:rPr>
                <w:rFonts w:ascii="Times New Roman" w:hAnsi="Times New Roman" w:cs="Times New Roman"/>
              </w:rPr>
              <w:t>收到</w:t>
            </w:r>
            <w:r>
              <w:rPr>
                <w:rFonts w:hint="eastAsia" w:ascii="Times New Roman" w:hAnsi="Times New Roman" w:cs="Times New Roman"/>
              </w:rPr>
              <w:t>六安市市场监管局印发《关于公开征集2024年度六安市地方标准制修订计划项目的通知》</w:t>
            </w:r>
            <w:r>
              <w:rPr>
                <w:rFonts w:hint="eastAsia" w:ascii="Times New Roman" w:hAnsi="Times New Roman" w:cs="Times New Roman"/>
                <w:lang w:val="en-US" w:eastAsia="zh-CN"/>
              </w:rPr>
              <w:t>后，</w:t>
            </w:r>
            <w:r>
              <w:rPr>
                <w:rFonts w:ascii="Times New Roman" w:hAnsi="Times New Roman" w:cs="Times New Roman"/>
              </w:rPr>
              <w:t>成立标准编制小组。</w:t>
            </w:r>
          </w:p>
          <w:p>
            <w:pPr>
              <w:pStyle w:val="4"/>
              <w:spacing w:before="0" w:beforeAutospacing="0" w:after="0" w:afterAutospacing="0" w:line="360" w:lineRule="auto"/>
              <w:ind w:firstLine="440"/>
              <w:jc w:val="both"/>
              <w:rPr>
                <w:rFonts w:ascii="Times New Roman" w:hAnsi="Times New Roman" w:cs="Times New Roman"/>
              </w:rPr>
            </w:pPr>
            <w:r>
              <w:rPr>
                <w:rFonts w:ascii="Times New Roman" w:hAnsi="Times New Roman" w:cs="Times New Roman"/>
              </w:rPr>
              <w:t>标准起草过程：</w:t>
            </w:r>
          </w:p>
          <w:p>
            <w:pPr>
              <w:pStyle w:val="4"/>
              <w:spacing w:before="0" w:beforeAutospacing="0" w:after="0" w:afterAutospacing="0" w:line="360" w:lineRule="auto"/>
              <w:jc w:val="both"/>
              <w:rPr>
                <w:rFonts w:ascii="Times New Roman" w:hAnsi="Times New Roman" w:cs="Times New Roman"/>
              </w:rPr>
            </w:pPr>
            <w:r>
              <w:rPr>
                <w:rFonts w:ascii="Times New Roman" w:hAnsi="Times New Roman" w:cs="Times New Roman"/>
              </w:rPr>
              <w:t>（1）前期准备阶段：</w:t>
            </w:r>
          </w:p>
          <w:p>
            <w:pPr>
              <w:pStyle w:val="4"/>
              <w:spacing w:before="0" w:beforeAutospacing="0" w:after="0" w:afterAutospacing="0" w:line="360" w:lineRule="auto"/>
              <w:ind w:firstLine="480" w:firstLineChars="200"/>
              <w:jc w:val="both"/>
              <w:rPr>
                <w:rFonts w:hint="eastAsia" w:ascii="Times New Roman" w:hAnsi="Times New Roman" w:cs="Times New Roman"/>
                <w:lang w:val="en-US" w:eastAsia="zh-CN"/>
              </w:rPr>
            </w:pPr>
            <w:r>
              <w:rPr>
                <w:rFonts w:hint="eastAsia" w:ascii="Times New Roman" w:hAnsi="Times New Roman" w:cs="Times New Roman"/>
              </w:rPr>
              <w:t>小组成员查阅了同类或类似的标准及文献资料，广泛收集了公共交通规划编制技术导则和规范。有如下：</w:t>
            </w:r>
            <w:r>
              <w:rPr>
                <w:rFonts w:hint="eastAsia" w:ascii="Times New Roman" w:hAnsi="Times New Roman" w:cs="Times New Roman"/>
                <w:lang w:eastAsia="zh-CN"/>
              </w:rPr>
              <w:t>《公共汽电车线网设置和调整规则》（GB/T 37114-2018）、《城市公共交通规划编制技术导则》（JT/T 1486-2023）、《</w:t>
            </w:r>
            <w:r>
              <w:rPr>
                <w:rFonts w:hint="eastAsia" w:ascii="Times New Roman" w:hAnsi="Times New Roman" w:cs="Times New Roman"/>
                <w:lang w:val="en-US" w:eastAsia="zh-CN"/>
              </w:rPr>
              <w:t>公交线路优化技术导则</w:t>
            </w:r>
            <w:r>
              <w:rPr>
                <w:rFonts w:hint="eastAsia" w:ascii="Times New Roman" w:hAnsi="Times New Roman" w:cs="Times New Roman"/>
                <w:lang w:eastAsia="zh-CN"/>
              </w:rPr>
              <w:t>》（</w:t>
            </w:r>
            <w:r>
              <w:rPr>
                <w:rFonts w:hint="eastAsia" w:ascii="Times New Roman" w:hAnsi="Times New Roman" w:cs="Times New Roman"/>
                <w:lang w:val="en-US" w:eastAsia="zh-CN"/>
              </w:rPr>
              <w:t>DB5201/T 119-2022</w:t>
            </w:r>
            <w:r>
              <w:rPr>
                <w:rFonts w:hint="eastAsia" w:ascii="Times New Roman" w:hAnsi="Times New Roman" w:cs="Times New Roman"/>
                <w:lang w:eastAsia="zh-CN"/>
              </w:rPr>
              <w:t>）、《城乡公交运营服务规范》（T/JSCTS 22-2022）</w:t>
            </w:r>
            <w:r>
              <w:rPr>
                <w:rFonts w:hint="eastAsia" w:ascii="Times New Roman" w:hAnsi="Times New Roman" w:cs="Times New Roman"/>
                <w:lang w:val="en-US" w:eastAsia="zh-CN"/>
              </w:rPr>
              <w:t>等。对资料进行管理分析，了解各省市对城乡公交线网规划的相关规范；组织调研团队，</w:t>
            </w:r>
            <w:r>
              <w:rPr>
                <w:rFonts w:hint="eastAsia" w:ascii="Times New Roman" w:hAnsi="Times New Roman" w:cs="Times New Roman"/>
                <w:lang w:eastAsia="zh-CN"/>
              </w:rPr>
              <w:t>实地考察</w:t>
            </w:r>
            <w:r>
              <w:rPr>
                <w:rFonts w:ascii="Times New Roman" w:hAnsi="Times New Roman" w:cs="Times New Roman"/>
              </w:rPr>
              <w:t>省内</w:t>
            </w:r>
            <w:r>
              <w:rPr>
                <w:rFonts w:hint="eastAsia" w:ascii="Times New Roman" w:hAnsi="Times New Roman" w:cs="Times New Roman"/>
                <w:lang w:val="en-US" w:eastAsia="zh-CN"/>
              </w:rPr>
              <w:t>城乡公交线网规划</w:t>
            </w:r>
            <w:r>
              <w:rPr>
                <w:rFonts w:hint="eastAsia" w:ascii="Times New Roman" w:hAnsi="Times New Roman" w:cs="Times New Roman"/>
                <w:lang w:eastAsia="zh-CN"/>
              </w:rPr>
              <w:t>的现状，</w:t>
            </w:r>
            <w:r>
              <w:rPr>
                <w:rFonts w:hint="eastAsia" w:ascii="Times New Roman" w:hAnsi="Times New Roman" w:cs="Times New Roman"/>
                <w:lang w:val="en-US" w:eastAsia="zh-CN"/>
              </w:rPr>
              <w:t>收集相关数据和基本情况信息，了解六安市的实际情况和需求，为本次城乡公交线网规划编制导则提供依据。</w:t>
            </w:r>
          </w:p>
          <w:p>
            <w:pPr>
              <w:pStyle w:val="4"/>
              <w:spacing w:before="0" w:beforeAutospacing="0" w:after="0" w:afterAutospacing="0" w:line="360" w:lineRule="auto"/>
              <w:jc w:val="both"/>
              <w:rPr>
                <w:rFonts w:hint="eastAsia" w:ascii="Times New Roman" w:hAnsi="Times New Roman" w:cs="Times New Roman"/>
                <w:lang w:val="en-US" w:eastAsia="zh-CN"/>
              </w:rPr>
            </w:pPr>
            <w:r>
              <w:rPr>
                <w:rFonts w:hint="eastAsia" w:ascii="Times New Roman" w:hAnsi="Times New Roman" w:cs="Times New Roman"/>
                <w:lang w:val="en-US" w:eastAsia="zh-CN"/>
              </w:rPr>
              <w:t>（2）项目立项阶段：</w:t>
            </w:r>
          </w:p>
          <w:p>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jc w:val="both"/>
              <w:textAlignment w:val="auto"/>
              <w:rPr>
                <w:rFonts w:hint="eastAsia" w:ascii="Times New Roman" w:hAnsi="Times New Roman" w:cs="Times New Roman"/>
                <w:lang w:val="en-US" w:eastAsia="zh-CN"/>
              </w:rPr>
            </w:pPr>
            <w:r>
              <w:rPr>
                <w:rFonts w:hint="eastAsia" w:ascii="Times New Roman" w:hAnsi="Times New Roman" w:cs="Times New Roman"/>
                <w:lang w:val="en-US" w:eastAsia="zh-CN"/>
              </w:rPr>
              <w:t>2024年4月1日，六安市市场监管局印发《关于公开征集2024年度六安市地方标准制修订计划项目的通知》后，成立标准编制小组开始申报工作。2024年7月14日市市场监管局组织召开2024年度六安市地方标准立项论证评估会，《城乡公交线网规划编制导则》批准立项。</w:t>
            </w:r>
          </w:p>
          <w:p>
            <w:pPr>
              <w:pStyle w:val="4"/>
              <w:spacing w:before="0" w:beforeAutospacing="0" w:after="0" w:afterAutospacing="0" w:line="360" w:lineRule="auto"/>
              <w:jc w:val="both"/>
              <w:rPr>
                <w:rFonts w:ascii="Times New Roman" w:hAnsi="Times New Roman" w:cs="Times New Roman"/>
              </w:rPr>
            </w:pPr>
            <w:r>
              <w:rPr>
                <w:rFonts w:ascii="Times New Roman" w:hAnsi="Times New Roman" w:cs="Times New Roman"/>
              </w:rPr>
              <w:t>（</w:t>
            </w:r>
            <w:r>
              <w:rPr>
                <w:rFonts w:hint="eastAsia" w:ascii="Times New Roman" w:hAnsi="Times New Roman" w:cs="Times New Roman"/>
                <w:lang w:val="en-US" w:eastAsia="zh-CN"/>
              </w:rPr>
              <w:t>3</w:t>
            </w:r>
            <w:r>
              <w:rPr>
                <w:rFonts w:ascii="Times New Roman" w:hAnsi="Times New Roman" w:cs="Times New Roman"/>
              </w:rPr>
              <w:t>）内容确定及验证阶段</w:t>
            </w:r>
          </w:p>
          <w:p>
            <w:pPr>
              <w:pStyle w:val="4"/>
              <w:spacing w:before="0" w:beforeAutospacing="0" w:after="0" w:afterAutospacing="0" w:line="360" w:lineRule="auto"/>
              <w:ind w:firstLine="480" w:firstLineChars="200"/>
              <w:jc w:val="both"/>
              <w:rPr>
                <w:rFonts w:hint="eastAsia" w:ascii="Times New Roman" w:hAnsi="Times New Roman" w:cs="Times New Roman"/>
              </w:rPr>
            </w:pPr>
            <w:r>
              <w:rPr>
                <w:rFonts w:hint="eastAsia" w:ascii="Times New Roman" w:hAnsi="Times New Roman" w:cs="Times New Roman"/>
              </w:rPr>
              <w:t>2024年4月1日，收到六安市市场监管局印发《关于公开征集2024年度六安市地方标准制修订计划项目的通知》后，成立标准编制小组</w:t>
            </w:r>
            <w:r>
              <w:rPr>
                <w:rFonts w:hint="eastAsia" w:ascii="Times New Roman" w:hAnsi="Times New Roman" w:cs="Times New Roman"/>
                <w:lang w:eastAsia="zh-CN"/>
              </w:rPr>
              <w:t>。</w:t>
            </w:r>
            <w:r>
              <w:rPr>
                <w:rFonts w:hint="eastAsia" w:ascii="Times New Roman" w:hAnsi="Times New Roman" w:cs="Times New Roman"/>
              </w:rPr>
              <w:t>在编制《城乡公交线网规划编制导则》的过程中，深入参考国内外先进的公交线网规划理论与实践经验，包括但不限于国内外相关标准、政策文件及成功案例，如</w:t>
            </w:r>
            <w:r>
              <w:rPr>
                <w:rFonts w:hint="eastAsia" w:ascii="Times New Roman" w:hAnsi="Times New Roman" w:cs="Times New Roman"/>
                <w:lang w:eastAsia="zh-CN"/>
              </w:rPr>
              <w:t>《城市公共交通规划编制技术导则》（JT/T 1486-2023）</w:t>
            </w:r>
            <w:r>
              <w:rPr>
                <w:rFonts w:hint="eastAsia" w:ascii="Times New Roman" w:hAnsi="Times New Roman" w:cs="Times New Roman"/>
              </w:rPr>
              <w:t>、</w:t>
            </w:r>
            <w:r>
              <w:rPr>
                <w:rFonts w:hint="eastAsia" w:ascii="Times New Roman" w:hAnsi="Times New Roman" w:cs="Times New Roman"/>
                <w:lang w:eastAsia="zh-CN"/>
              </w:rPr>
              <w:t>《公共汽电车线网设置和调整规则》（GB/T 37114-2018）</w:t>
            </w:r>
            <w:r>
              <w:rPr>
                <w:rFonts w:hint="eastAsia" w:ascii="Times New Roman" w:hAnsi="Times New Roman" w:cs="Times New Roman"/>
              </w:rPr>
              <w:t>等，确保导则内容与国内</w:t>
            </w:r>
            <w:r>
              <w:rPr>
                <w:rFonts w:hint="eastAsia" w:ascii="Times New Roman" w:hAnsi="Times New Roman" w:cs="Times New Roman"/>
                <w:lang w:val="en-US" w:eastAsia="zh-CN"/>
              </w:rPr>
              <w:t>外</w:t>
            </w:r>
            <w:r>
              <w:rPr>
                <w:rFonts w:hint="eastAsia" w:ascii="Times New Roman" w:hAnsi="Times New Roman" w:cs="Times New Roman"/>
              </w:rPr>
              <w:t>先进理念接轨，同时符合城乡一体化发展的实际需求。通过综合分析这些参考资料，</w:t>
            </w:r>
            <w:r>
              <w:rPr>
                <w:rFonts w:ascii="Times New Roman" w:hAnsi="Times New Roman" w:cs="Times New Roman"/>
              </w:rPr>
              <w:t>科学合理设置标准内容</w:t>
            </w:r>
            <w:r>
              <w:rPr>
                <w:rFonts w:hint="eastAsia" w:ascii="Times New Roman" w:hAnsi="Times New Roman" w:cs="Times New Roman"/>
                <w:lang w:eastAsia="zh-CN"/>
              </w:rPr>
              <w:t>，</w:t>
            </w:r>
            <w:r>
              <w:rPr>
                <w:rFonts w:hint="eastAsia" w:ascii="Times New Roman" w:hAnsi="Times New Roman" w:cs="Times New Roman"/>
              </w:rPr>
              <w:t>为导则的科学性、前瞻性和实用性奠定基础。</w:t>
            </w:r>
          </w:p>
          <w:p>
            <w:pPr>
              <w:pStyle w:val="4"/>
              <w:spacing w:before="0" w:beforeAutospacing="0" w:after="0" w:afterAutospacing="0" w:line="360" w:lineRule="auto"/>
              <w:ind w:firstLine="480" w:firstLineChars="200"/>
              <w:jc w:val="both"/>
              <w:rPr>
                <w:rFonts w:ascii="Times New Roman" w:hAnsi="Times New Roman" w:cs="Times New Roman"/>
              </w:rPr>
            </w:pPr>
            <w:r>
              <w:rPr>
                <w:rFonts w:hint="eastAsia" w:ascii="Times New Roman" w:hAnsi="Times New Roman" w:cs="Times New Roman"/>
                <w:lang w:val="en-US" w:eastAsia="zh-CN"/>
              </w:rPr>
              <w:t>2024年8月，经过</w:t>
            </w:r>
            <w:r>
              <w:rPr>
                <w:rFonts w:hint="eastAsia" w:ascii="Times New Roman" w:hAnsi="Times New Roman" w:cs="Times New Roman"/>
              </w:rPr>
              <w:t>标准</w:t>
            </w:r>
            <w:r>
              <w:rPr>
                <w:rFonts w:hint="eastAsia" w:ascii="Times New Roman" w:hAnsi="Times New Roman" w:cs="Times New Roman"/>
                <w:lang w:val="en-US" w:eastAsia="zh-CN"/>
              </w:rPr>
              <w:t>编制小组与六安市惠民公共交通有限责任公司内部讨论，综合</w:t>
            </w:r>
            <w:r>
              <w:rPr>
                <w:rFonts w:hint="eastAsia" w:ascii="Times New Roman" w:hAnsi="Times New Roman" w:cs="Times New Roman"/>
              </w:rPr>
              <w:t>考虑城乡经济水平、人口分布、道路网络、土地利用等因素，借鉴国家层面及其他地区在城乡公交线网规划方面的成功经验和先进标准，借鉴国家和其他省份已有的相关标准和规范，结合</w:t>
            </w:r>
            <w:r>
              <w:rPr>
                <w:rFonts w:hint="eastAsia" w:ascii="Times New Roman" w:hAnsi="Times New Roman" w:cs="Times New Roman"/>
                <w:lang w:val="en-US" w:eastAsia="zh-CN"/>
              </w:rPr>
              <w:t>六安市</w:t>
            </w:r>
            <w:r>
              <w:rPr>
                <w:rFonts w:hint="eastAsia" w:ascii="Times New Roman" w:hAnsi="Times New Roman" w:cs="Times New Roman"/>
              </w:rPr>
              <w:t>的具体情况</w:t>
            </w:r>
            <w:r>
              <w:rPr>
                <w:rFonts w:ascii="Times New Roman" w:hAnsi="Times New Roman" w:cs="Times New Roman"/>
              </w:rPr>
              <w:t>，初步确定</w:t>
            </w:r>
            <w:r>
              <w:rPr>
                <w:rFonts w:hint="eastAsia" w:ascii="Times New Roman" w:hAnsi="Times New Roman" w:cs="Times New Roman"/>
                <w:lang w:eastAsia="zh-CN"/>
              </w:rPr>
              <w:t>《</w:t>
            </w:r>
            <w:r>
              <w:rPr>
                <w:rFonts w:hint="eastAsia" w:ascii="Times New Roman" w:hAnsi="Times New Roman" w:cs="Times New Roman"/>
                <w:lang w:val="en-US" w:eastAsia="zh-CN"/>
              </w:rPr>
              <w:t>城</w:t>
            </w:r>
            <w:r>
              <w:rPr>
                <w:rFonts w:hint="eastAsia" w:ascii="Times New Roman" w:hAnsi="Times New Roman" w:cs="Times New Roman"/>
                <w:lang w:eastAsia="zh-CN"/>
              </w:rPr>
              <w:t>乡公交线网规划编制导则》</w:t>
            </w:r>
            <w:r>
              <w:rPr>
                <w:rFonts w:hint="eastAsia" w:ascii="Times New Roman" w:hAnsi="Times New Roman" w:cs="Times New Roman"/>
                <w:lang w:val="en-US" w:eastAsia="zh-CN"/>
              </w:rPr>
              <w:t>内容</w:t>
            </w:r>
            <w:r>
              <w:rPr>
                <w:rFonts w:ascii="Times New Roman" w:hAnsi="Times New Roman" w:cs="Times New Roman"/>
              </w:rPr>
              <w:t>。</w:t>
            </w:r>
          </w:p>
          <w:p>
            <w:pPr>
              <w:pStyle w:val="4"/>
              <w:spacing w:before="0" w:beforeAutospacing="0" w:after="0" w:afterAutospacing="0" w:line="360" w:lineRule="auto"/>
              <w:ind w:firstLine="480" w:firstLineChars="200"/>
              <w:jc w:val="both"/>
              <w:rPr>
                <w:rFonts w:hint="eastAsia" w:ascii="Times New Roman" w:hAnsi="Times New Roman" w:cs="Times New Roman"/>
              </w:rPr>
            </w:pPr>
            <w:r>
              <w:rPr>
                <w:rFonts w:hint="eastAsia" w:ascii="Times New Roman" w:hAnsi="Times New Roman" w:cs="Times New Roman"/>
                <w:lang w:val="en-US" w:eastAsia="zh-CN"/>
              </w:rPr>
              <w:t>2025年11月</w:t>
            </w:r>
            <w:r>
              <w:rPr>
                <w:rFonts w:hint="eastAsia" w:ascii="Times New Roman" w:hAnsi="Times New Roman" w:cs="Times New Roman"/>
              </w:rPr>
              <w:t>进入内容验证阶段，组织专家团队对初步形成的《城乡公交线网规划编制导则》进行实地调研和案例分析。通过实地考察、问卷调查、数据收集等方式，了解当地城乡公交线网现状、存在问题及发展需求。将导则中的规划理念、方法、技术指标与实际规划案例进行对比分析，评估其适用性和有效性。同时，广泛征求地方政府、交通管理部门、公交企业、乘客代表等多方意见，收集反馈并据此对导则进行必要的调整和优化。</w:t>
            </w:r>
          </w:p>
          <w:p>
            <w:pPr>
              <w:pStyle w:val="4"/>
              <w:spacing w:before="0" w:beforeAutospacing="0" w:after="0" w:afterAutospacing="0" w:line="360" w:lineRule="auto"/>
              <w:ind w:firstLine="480" w:firstLineChars="200"/>
              <w:jc w:val="both"/>
              <w:rPr>
                <w:rFonts w:ascii="Times New Roman" w:hAnsi="Times New Roman" w:cs="Times New Roman"/>
              </w:rPr>
            </w:pPr>
            <w:r>
              <w:rPr>
                <w:rFonts w:hint="eastAsia" w:ascii="Times New Roman" w:hAnsi="Times New Roman" w:cs="Times New Roman"/>
                <w:lang w:val="en-US" w:eastAsia="zh-CN"/>
              </w:rPr>
              <w:t>2025年1月18日，六安市交通运输局组织展开内部初审会议，</w:t>
            </w:r>
            <w:r>
              <w:rPr>
                <w:rFonts w:hint="eastAsia" w:ascii="Times New Roman" w:hAnsi="Times New Roman" w:cs="Times New Roman"/>
              </w:rPr>
              <w:t>通过这一系列的验证过程，确保最终形成的《城乡公交线网规划编制导则》既科学严谨又贴近实际</w:t>
            </w:r>
            <w:r>
              <w:rPr>
                <w:rFonts w:ascii="Times New Roman" w:hAnsi="Times New Roman" w:cs="Times New Roman"/>
              </w:rPr>
              <w:t>。</w:t>
            </w:r>
          </w:p>
          <w:p>
            <w:pPr>
              <w:pStyle w:val="4"/>
              <w:spacing w:before="0" w:beforeAutospacing="0" w:after="0" w:afterAutospacing="0" w:line="360" w:lineRule="auto"/>
              <w:jc w:val="both"/>
              <w:rPr>
                <w:rFonts w:ascii="Times New Roman" w:hAnsi="Times New Roman" w:cs="Times New Roman"/>
              </w:rPr>
            </w:pPr>
            <w:r>
              <w:rPr>
                <w:rFonts w:ascii="Times New Roman" w:hAnsi="Times New Roman" w:cs="Times New Roman"/>
              </w:rPr>
              <w:t>（</w:t>
            </w:r>
            <w:r>
              <w:rPr>
                <w:rFonts w:hint="eastAsia" w:ascii="Times New Roman" w:hAnsi="Times New Roman" w:cs="Times New Roman"/>
                <w:lang w:val="en-US" w:eastAsia="zh-CN"/>
              </w:rPr>
              <w:t>4</w:t>
            </w:r>
            <w:r>
              <w:rPr>
                <w:rFonts w:ascii="Times New Roman" w:hAnsi="Times New Roman" w:cs="Times New Roman"/>
              </w:rPr>
              <w:t>）地方标准的制定</w:t>
            </w:r>
          </w:p>
          <w:p>
            <w:pPr>
              <w:pStyle w:val="4"/>
              <w:spacing w:before="0" w:beforeAutospacing="0" w:after="0" w:afterAutospacing="0" w:line="360" w:lineRule="auto"/>
              <w:ind w:firstLine="440"/>
              <w:jc w:val="both"/>
              <w:rPr>
                <w:rFonts w:ascii="Times New Roman" w:hAnsi="Times New Roman" w:eastAsia="宋体" w:cs="Times New Roman"/>
                <w:sz w:val="24"/>
              </w:rPr>
            </w:pPr>
            <w:r>
              <w:rPr>
                <w:rFonts w:ascii="Times New Roman" w:hAnsi="Times New Roman" w:cs="Times New Roman"/>
              </w:rPr>
              <w:t>通过上述调研和标准资料进行汇总分析，同时召开小组成员讨论会，按照</w:t>
            </w:r>
            <w:r>
              <w:rPr>
                <w:rFonts w:hint="eastAsia"/>
              </w:rPr>
              <w:t>《标准化工作导则 第1部分：标准化文件的结构和起草规则》（</w:t>
            </w:r>
            <w:r>
              <w:rPr>
                <w:rFonts w:ascii="Times New Roman" w:hAnsi="Times New Roman" w:cs="Times New Roman"/>
              </w:rPr>
              <w:t>GB/T 1.1-2020</w:t>
            </w:r>
            <w:r>
              <w:rPr>
                <w:rFonts w:hint="eastAsia" w:ascii="Times New Roman" w:hAnsi="Times New Roman" w:cs="Times New Roman"/>
              </w:rPr>
              <w:t>）</w:t>
            </w:r>
            <w:r>
              <w:rPr>
                <w:rFonts w:ascii="Times New Roman" w:hAnsi="Times New Roman" w:cs="Times New Roman"/>
              </w:rPr>
              <w:t>的编写原则和要求，起草了</w:t>
            </w:r>
            <w:r>
              <w:rPr>
                <w:rFonts w:hint="eastAsia" w:ascii="Times New Roman" w:hAnsi="Times New Roman" w:cs="Times New Roman"/>
                <w:lang w:val="en-US" w:eastAsia="zh-CN"/>
              </w:rPr>
              <w:t>六安市</w:t>
            </w:r>
            <w:r>
              <w:rPr>
                <w:rFonts w:ascii="Times New Roman" w:hAnsi="Times New Roman" w:cs="Times New Roman"/>
              </w:rPr>
              <w:t>地方标准《</w:t>
            </w:r>
            <w:r>
              <w:rPr>
                <w:rFonts w:hint="eastAsia" w:ascii="Times New Roman" w:hAnsi="Times New Roman" w:cs="Times New Roman"/>
                <w:lang w:val="en-US" w:eastAsia="zh-CN"/>
              </w:rPr>
              <w:t>城</w:t>
            </w:r>
            <w:r>
              <w:rPr>
                <w:rFonts w:hint="eastAsia" w:ascii="Times New Roman" w:hAnsi="Times New Roman" w:cs="Times New Roman"/>
                <w:lang w:eastAsia="zh-CN"/>
              </w:rPr>
              <w:t>乡公交线网规划编制导则</w:t>
            </w:r>
            <w:r>
              <w:rPr>
                <w:rFonts w:ascii="Times New Roman" w:hAnsi="Times New Roman" w:cs="Times New Roman"/>
              </w:rPr>
              <w:t>》</w:t>
            </w:r>
            <w:r>
              <w:rPr>
                <w:rFonts w:ascii="Times New Roman" w:hAnsi="Times New Roman" w:eastAsia="宋体" w:cs="Times New Roman"/>
                <w:sz w:val="24"/>
              </w:rPr>
              <w:t>。</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bottom w:val="single" w:color="auto" w:sz="4" w:space="0"/>
            </w:tcBorders>
          </w:tcPr>
          <w:p>
            <w:pPr>
              <w:pStyle w:val="8"/>
              <w:numPr>
                <w:ilvl w:val="0"/>
                <w:numId w:val="2"/>
              </w:numPr>
              <w:spacing w:line="360" w:lineRule="auto"/>
              <w:ind w:firstLineChars="0"/>
              <w:jc w:val="both"/>
              <w:rPr>
                <w:rFonts w:ascii="Times New Roman" w:hAnsi="Times New Roman" w:eastAsia="宋体" w:cs="Times New Roman"/>
                <w:sz w:val="24"/>
              </w:rPr>
            </w:pPr>
            <w:r>
              <w:rPr>
                <w:rFonts w:ascii="Times New Roman" w:hAnsi="Times New Roman" w:eastAsia="宋体" w:cs="Times New Roman"/>
                <w:kern w:val="0"/>
                <w:sz w:val="24"/>
              </w:rPr>
              <w:t>制定标准的必要性和意义</w:t>
            </w:r>
          </w:p>
          <w:p>
            <w:pPr>
              <w:spacing w:line="360" w:lineRule="auto"/>
              <w:ind w:firstLine="0" w:firstLineChars="0"/>
              <w:jc w:val="both"/>
              <w:rPr>
                <w:rFonts w:ascii="Times New Roman" w:hAnsi="Times New Roman" w:eastAsia="宋体" w:cs="Times New Roman"/>
                <w:b/>
                <w:bCs/>
                <w:kern w:val="0"/>
                <w:sz w:val="24"/>
              </w:rPr>
            </w:pPr>
            <w:r>
              <w:rPr>
                <w:rFonts w:ascii="Times New Roman" w:hAnsi="Times New Roman" w:eastAsia="宋体" w:cs="Times New Roman"/>
                <w:b/>
                <w:bCs/>
                <w:kern w:val="0"/>
                <w:sz w:val="24"/>
              </w:rPr>
              <w:t>必要性</w:t>
            </w:r>
            <w:r>
              <w:rPr>
                <w:rFonts w:hint="eastAsia" w:ascii="Times New Roman" w:hAnsi="Times New Roman" w:eastAsia="宋体" w:cs="Times New Roman"/>
                <w:b/>
                <w:bCs/>
                <w:kern w:val="0"/>
                <w:sz w:val="24"/>
                <w:lang w:eastAsia="zh-CN"/>
              </w:rPr>
              <w:t>：</w:t>
            </w:r>
            <w:r>
              <w:rPr>
                <w:rFonts w:ascii="Times New Roman" w:hAnsi="Times New Roman" w:eastAsia="宋体" w:cs="Times New Roman"/>
                <w:b/>
                <w:bCs/>
                <w:kern w:val="0"/>
                <w:sz w:val="24"/>
              </w:rPr>
              <w:t xml:space="preserve"> </w:t>
            </w:r>
          </w:p>
          <w:p>
            <w:pPr>
              <w:spacing w:line="360" w:lineRule="auto"/>
              <w:ind w:firstLine="480"/>
              <w:jc w:val="both"/>
              <w:rPr>
                <w:rFonts w:hint="eastAsia" w:ascii="Times New Roman" w:hAnsi="Times New Roman" w:eastAsia="宋体" w:cs="Times New Roman"/>
                <w:kern w:val="0"/>
                <w:sz w:val="24"/>
                <w:lang w:eastAsia="zh-CN"/>
              </w:rPr>
            </w:pPr>
            <w:r>
              <w:rPr>
                <w:rFonts w:hint="eastAsia" w:ascii="Times New Roman" w:hAnsi="Times New Roman" w:eastAsia="宋体" w:cs="Times New Roman"/>
                <w:kern w:val="0"/>
                <w:sz w:val="24"/>
              </w:rPr>
              <w:t>目前已有的公交规划编制导则，主要研究对象是城市公交，对城乡公交线网规划指南研究较少。然而，随着城市化进程的加速和农村经济的发展，城乡交通一体化的需求日益迫切，城乡公交线网规划编制导则的研究和制定变得尤为重要。为指导六安市城乡公交线网规划编制</w:t>
            </w:r>
            <w:r>
              <w:rPr>
                <w:rFonts w:hint="eastAsia" w:ascii="Times New Roman" w:hAnsi="Times New Roman" w:eastAsia="宋体" w:cs="Times New Roman"/>
                <w:kern w:val="0"/>
                <w:sz w:val="24"/>
                <w:lang w:eastAsia="zh-CN"/>
              </w:rPr>
              <w:t>，</w:t>
            </w:r>
            <w:r>
              <w:rPr>
                <w:rFonts w:hint="eastAsia" w:ascii="Times New Roman" w:hAnsi="Times New Roman" w:eastAsia="宋体" w:cs="Times New Roman"/>
                <w:kern w:val="0"/>
                <w:sz w:val="24"/>
              </w:rPr>
              <w:t>提高城乡公交线网规划工作的质量和水平</w:t>
            </w:r>
            <w:r>
              <w:rPr>
                <w:rFonts w:hint="eastAsia" w:ascii="Times New Roman" w:hAnsi="Times New Roman" w:eastAsia="宋体" w:cs="Times New Roman"/>
                <w:kern w:val="0"/>
                <w:sz w:val="24"/>
                <w:lang w:eastAsia="zh-CN"/>
              </w:rPr>
              <w:t>，</w:t>
            </w:r>
            <w:r>
              <w:rPr>
                <w:rFonts w:hint="eastAsia" w:ascii="Times New Roman" w:hAnsi="Times New Roman" w:eastAsia="宋体" w:cs="Times New Roman"/>
                <w:kern w:val="0"/>
                <w:sz w:val="24"/>
              </w:rPr>
              <w:t>贯彻落实公交优先发展战略</w:t>
            </w:r>
            <w:r>
              <w:rPr>
                <w:rFonts w:hint="eastAsia" w:ascii="Times New Roman" w:hAnsi="Times New Roman" w:eastAsia="宋体" w:cs="Times New Roman"/>
                <w:kern w:val="0"/>
                <w:sz w:val="24"/>
                <w:lang w:eastAsia="zh-CN"/>
              </w:rPr>
              <w:t>，</w:t>
            </w:r>
            <w:r>
              <w:rPr>
                <w:rFonts w:hint="eastAsia" w:ascii="Times New Roman" w:hAnsi="Times New Roman" w:eastAsia="宋体" w:cs="Times New Roman"/>
                <w:kern w:val="0"/>
                <w:sz w:val="24"/>
              </w:rPr>
              <w:t>根据相关</w:t>
            </w:r>
            <w:r>
              <w:rPr>
                <w:rFonts w:hint="eastAsia" w:ascii="Times New Roman" w:hAnsi="Times New Roman" w:eastAsia="宋体" w:cs="Times New Roman"/>
                <w:kern w:val="0"/>
                <w:sz w:val="24"/>
                <w:lang w:eastAsia="zh-CN"/>
              </w:rPr>
              <w:t>法律法规</w:t>
            </w:r>
            <w:r>
              <w:rPr>
                <w:rFonts w:hint="eastAsia" w:ascii="Times New Roman" w:hAnsi="Times New Roman" w:eastAsia="宋体" w:cs="Times New Roman"/>
                <w:kern w:val="0"/>
                <w:sz w:val="24"/>
              </w:rPr>
              <w:t>和技术规范</w:t>
            </w:r>
            <w:r>
              <w:rPr>
                <w:rFonts w:hint="eastAsia" w:ascii="Times New Roman" w:hAnsi="Times New Roman" w:eastAsia="宋体" w:cs="Times New Roman"/>
                <w:kern w:val="0"/>
                <w:sz w:val="24"/>
                <w:lang w:eastAsia="zh-CN"/>
              </w:rPr>
              <w:t>，</w:t>
            </w:r>
            <w:r>
              <w:rPr>
                <w:rFonts w:hint="eastAsia" w:ascii="Times New Roman" w:hAnsi="Times New Roman" w:eastAsia="宋体" w:cs="Times New Roman"/>
                <w:kern w:val="0"/>
                <w:sz w:val="24"/>
              </w:rPr>
              <w:t>结合六安市实际</w:t>
            </w:r>
            <w:r>
              <w:rPr>
                <w:rFonts w:hint="eastAsia" w:ascii="Times New Roman" w:hAnsi="Times New Roman" w:eastAsia="宋体" w:cs="Times New Roman"/>
                <w:kern w:val="0"/>
                <w:sz w:val="24"/>
                <w:lang w:eastAsia="zh-CN"/>
              </w:rPr>
              <w:t>，</w:t>
            </w:r>
            <w:r>
              <w:rPr>
                <w:rFonts w:hint="eastAsia" w:ascii="Times New Roman" w:hAnsi="Times New Roman" w:eastAsia="宋体" w:cs="Times New Roman"/>
                <w:kern w:val="0"/>
                <w:sz w:val="24"/>
              </w:rPr>
              <w:t>制定本导则。六安市是全域公交地市，城乡公交发展基础比较好，但也存在着线路不合理，运营效率不高，线路开通缺乏标准等问题，</w:t>
            </w:r>
            <w:r>
              <w:rPr>
                <w:rFonts w:hint="eastAsia" w:ascii="Times New Roman" w:hAnsi="Times New Roman" w:eastAsia="宋体" w:cs="Times New Roman"/>
                <w:kern w:val="0"/>
                <w:sz w:val="24"/>
                <w:lang w:eastAsia="zh-CN"/>
              </w:rPr>
              <w:t>所以</w:t>
            </w:r>
            <w:r>
              <w:rPr>
                <w:rFonts w:hint="eastAsia" w:ascii="Times New Roman" w:hAnsi="Times New Roman" w:eastAsia="宋体" w:cs="Times New Roman"/>
                <w:kern w:val="0"/>
                <w:sz w:val="24"/>
              </w:rPr>
              <w:t>迫切需要编制公交线网规划导则</w:t>
            </w:r>
            <w:r>
              <w:rPr>
                <w:rFonts w:hint="eastAsia" w:ascii="Times New Roman" w:hAnsi="Times New Roman" w:eastAsia="宋体" w:cs="Times New Roman"/>
                <w:kern w:val="0"/>
                <w:sz w:val="24"/>
                <w:lang w:eastAsia="zh-CN"/>
              </w:rPr>
              <w:t>，</w:t>
            </w:r>
            <w:r>
              <w:rPr>
                <w:rFonts w:hint="eastAsia" w:ascii="Times New Roman" w:hAnsi="Times New Roman" w:eastAsia="宋体" w:cs="Times New Roman"/>
                <w:kern w:val="0"/>
                <w:sz w:val="24"/>
              </w:rPr>
              <w:t>为六安市优化城乡公共交通运力资源配置、科学制定线网运行方案、合理布局公交线路提供标准规范和技术指引</w:t>
            </w:r>
            <w:r>
              <w:rPr>
                <w:rFonts w:hint="eastAsia" w:ascii="Times New Roman" w:hAnsi="Times New Roman" w:eastAsia="宋体" w:cs="Times New Roman"/>
                <w:kern w:val="0"/>
                <w:sz w:val="24"/>
                <w:lang w:eastAsia="zh-CN"/>
              </w:rPr>
              <w:t>，</w:t>
            </w:r>
            <w:r>
              <w:rPr>
                <w:rFonts w:hint="eastAsia" w:ascii="Times New Roman" w:hAnsi="Times New Roman" w:eastAsia="宋体" w:cs="Times New Roman"/>
                <w:kern w:val="0"/>
                <w:sz w:val="24"/>
              </w:rPr>
              <w:t>推动城乡公交线网的规范化、高效化和可持续发展。</w:t>
            </w:r>
          </w:p>
          <w:p>
            <w:pPr>
              <w:spacing w:line="360" w:lineRule="auto"/>
              <w:ind w:firstLine="0" w:firstLineChars="0"/>
              <w:jc w:val="both"/>
              <w:rPr>
                <w:rFonts w:ascii="Times New Roman" w:hAnsi="Times New Roman" w:eastAsia="宋体" w:cs="Times New Roman"/>
                <w:kern w:val="0"/>
                <w:sz w:val="24"/>
              </w:rPr>
            </w:pPr>
            <w:r>
              <w:rPr>
                <w:rFonts w:ascii="Times New Roman" w:hAnsi="Times New Roman" w:eastAsia="宋体" w:cs="Times New Roman"/>
                <w:b/>
                <w:bCs/>
                <w:kern w:val="0"/>
                <w:sz w:val="24"/>
              </w:rPr>
              <w:t>意义</w:t>
            </w:r>
            <w:r>
              <w:rPr>
                <w:rFonts w:hint="eastAsia" w:ascii="Times New Roman" w:hAnsi="Times New Roman" w:eastAsia="宋体" w:cs="Times New Roman"/>
                <w:b/>
                <w:bCs/>
                <w:kern w:val="0"/>
                <w:sz w:val="24"/>
                <w:lang w:eastAsia="zh-CN"/>
              </w:rPr>
              <w:t>：</w:t>
            </w:r>
          </w:p>
          <w:p>
            <w:pPr>
              <w:spacing w:line="360" w:lineRule="auto"/>
              <w:ind w:firstLine="480"/>
              <w:jc w:val="both"/>
              <w:rPr>
                <w:rFonts w:ascii="Times New Roman" w:hAnsi="Times New Roman" w:eastAsia="宋体" w:cs="Times New Roman"/>
                <w:kern w:val="0"/>
                <w:sz w:val="24"/>
              </w:rPr>
            </w:pPr>
            <w:r>
              <w:rPr>
                <w:rFonts w:hint="eastAsia" w:ascii="Times New Roman" w:hAnsi="Times New Roman" w:eastAsia="宋体" w:cs="Times New Roman"/>
                <w:kern w:val="0"/>
                <w:sz w:val="24"/>
                <w:lang w:eastAsia="zh-CN"/>
              </w:rPr>
              <w:t>第一，</w:t>
            </w:r>
            <w:r>
              <w:rPr>
                <w:rFonts w:hint="eastAsia" w:ascii="Times New Roman" w:hAnsi="Times New Roman" w:eastAsia="宋体" w:cs="Times New Roman"/>
                <w:kern w:val="0"/>
                <w:sz w:val="24"/>
              </w:rPr>
              <w:t>为六安市城乡公交线网的规划提供了明确的指导和规范。</w:t>
            </w:r>
          </w:p>
          <w:p>
            <w:pPr>
              <w:spacing w:line="360" w:lineRule="auto"/>
              <w:ind w:firstLine="480"/>
              <w:jc w:val="both"/>
              <w:rPr>
                <w:rFonts w:hint="eastAsia" w:ascii="Times New Roman" w:hAnsi="Times New Roman" w:eastAsia="宋体" w:cs="Times New Roman"/>
                <w:kern w:val="0"/>
                <w:sz w:val="24"/>
              </w:rPr>
            </w:pPr>
            <w:r>
              <w:rPr>
                <w:rFonts w:hint="eastAsia" w:ascii="Times New Roman" w:hAnsi="Times New Roman" w:eastAsia="宋体" w:cs="Times New Roman"/>
                <w:kern w:val="0"/>
                <w:sz w:val="24"/>
                <w:lang w:eastAsia="zh-CN"/>
              </w:rPr>
              <w:t>第二，</w:t>
            </w:r>
            <w:r>
              <w:rPr>
                <w:rFonts w:hint="eastAsia" w:ascii="Times New Roman" w:hAnsi="Times New Roman" w:eastAsia="宋体" w:cs="Times New Roman"/>
                <w:kern w:val="0"/>
                <w:sz w:val="24"/>
              </w:rPr>
              <w:t>有助于打破城乡交通壁垒，促进城乡之间的交通联系和资源共享。通过优化城乡公交线网布局，可以缩小城乡交通差距，推动城乡经济社会的协调发展，实现城乡一体化发展的目标。</w:t>
            </w:r>
          </w:p>
          <w:p>
            <w:pPr>
              <w:spacing w:line="360" w:lineRule="auto"/>
              <w:ind w:firstLine="480"/>
              <w:jc w:val="both"/>
              <w:rPr>
                <w:rFonts w:ascii="Times New Roman" w:hAnsi="Times New Roman" w:eastAsia="宋体" w:cs="Times New Roman"/>
                <w:kern w:val="0"/>
                <w:sz w:val="24"/>
              </w:rPr>
            </w:pPr>
            <w:r>
              <w:rPr>
                <w:rFonts w:hint="eastAsia" w:ascii="Times New Roman" w:hAnsi="Times New Roman" w:eastAsia="宋体" w:cs="Times New Roman"/>
                <w:kern w:val="0"/>
                <w:sz w:val="24"/>
                <w:lang w:eastAsia="zh-CN"/>
              </w:rPr>
              <w:t>第三，</w:t>
            </w:r>
            <w:r>
              <w:rPr>
                <w:rFonts w:hint="eastAsia" w:ascii="Times New Roman" w:hAnsi="Times New Roman" w:eastAsia="宋体" w:cs="Times New Roman"/>
                <w:kern w:val="0"/>
                <w:sz w:val="24"/>
              </w:rPr>
              <w:t>优化资源配置</w:t>
            </w:r>
            <w:r>
              <w:rPr>
                <w:rFonts w:hint="eastAsia" w:ascii="Times New Roman" w:hAnsi="Times New Roman" w:eastAsia="宋体" w:cs="Times New Roman"/>
                <w:kern w:val="0"/>
                <w:sz w:val="24"/>
                <w:lang w:eastAsia="zh-CN"/>
              </w:rPr>
              <w:t>，</w:t>
            </w:r>
            <w:r>
              <w:rPr>
                <w:rFonts w:hint="eastAsia" w:ascii="Times New Roman" w:hAnsi="Times New Roman" w:eastAsia="宋体" w:cs="Times New Roman"/>
                <w:kern w:val="0"/>
                <w:sz w:val="24"/>
              </w:rPr>
              <w:t>有助于提升城乡公交的服务质量和运营效率，为乘客提供更加便捷、舒适、安全的出行体验。</w:t>
            </w:r>
          </w:p>
          <w:p>
            <w:pPr>
              <w:spacing w:line="360" w:lineRule="auto"/>
              <w:ind w:firstLine="480"/>
              <w:jc w:val="both"/>
              <w:rPr>
                <w:rFonts w:ascii="Times New Roman" w:hAnsi="Times New Roman" w:eastAsia="宋体" w:cs="Times New Roman"/>
                <w:sz w:val="24"/>
              </w:rPr>
            </w:pPr>
            <w:r>
              <w:rPr>
                <w:rFonts w:hint="eastAsia" w:ascii="Times New Roman" w:hAnsi="Times New Roman" w:eastAsia="宋体" w:cs="Times New Roman"/>
                <w:kern w:val="0"/>
                <w:sz w:val="24"/>
                <w:lang w:eastAsia="zh-CN"/>
              </w:rPr>
              <w:t>第四，</w:t>
            </w:r>
            <w:r>
              <w:rPr>
                <w:rFonts w:hint="eastAsia" w:ascii="Times New Roman" w:hAnsi="Times New Roman" w:eastAsia="宋体" w:cs="Times New Roman"/>
                <w:kern w:val="0"/>
                <w:sz w:val="24"/>
              </w:rPr>
              <w:t>本标准适应了</w:t>
            </w:r>
            <w:r>
              <w:rPr>
                <w:rFonts w:hint="eastAsia" w:ascii="Times New Roman" w:hAnsi="Times New Roman" w:eastAsia="宋体" w:cs="Times New Roman"/>
                <w:kern w:val="0"/>
                <w:sz w:val="24"/>
                <w:lang w:val="en-US" w:eastAsia="zh-CN"/>
              </w:rPr>
              <w:t>城乡公交线网规划</w:t>
            </w:r>
            <w:r>
              <w:rPr>
                <w:rFonts w:hint="eastAsia" w:ascii="Times New Roman" w:hAnsi="Times New Roman" w:eastAsia="宋体" w:cs="Times New Roman"/>
                <w:kern w:val="0"/>
                <w:sz w:val="24"/>
              </w:rPr>
              <w:t>发展的需要，为科学规划、合理</w:t>
            </w:r>
            <w:r>
              <w:rPr>
                <w:rFonts w:hint="eastAsia" w:ascii="Times New Roman" w:hAnsi="Times New Roman" w:eastAsia="宋体" w:cs="Times New Roman"/>
                <w:kern w:val="0"/>
                <w:sz w:val="24"/>
                <w:lang w:eastAsia="zh-CN"/>
              </w:rPr>
              <w:t>、</w:t>
            </w:r>
            <w:r>
              <w:rPr>
                <w:rFonts w:hint="eastAsia" w:ascii="Times New Roman" w:hAnsi="Times New Roman" w:eastAsia="宋体" w:cs="Times New Roman"/>
                <w:kern w:val="0"/>
                <w:sz w:val="24"/>
                <w:lang w:val="en-US" w:eastAsia="zh-CN"/>
              </w:rPr>
              <w:t>有效地规划城乡公交线网</w:t>
            </w:r>
            <w:r>
              <w:rPr>
                <w:rFonts w:hint="eastAsia" w:ascii="Times New Roman" w:hAnsi="Times New Roman" w:eastAsia="宋体" w:cs="Times New Roman"/>
                <w:kern w:val="0"/>
                <w:sz w:val="24"/>
              </w:rPr>
              <w:t>提供了理论依据和技术支持</w:t>
            </w:r>
            <w:r>
              <w:rPr>
                <w:rFonts w:ascii="Times New Roman" w:hAnsi="Times New Roman" w:eastAsia="宋体" w:cs="Times New Roman"/>
                <w:kern w:val="0"/>
                <w:sz w:val="24"/>
              </w:rPr>
              <w:t>。</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nil"/>
            </w:tcBorders>
          </w:tcPr>
          <w:p>
            <w:pPr>
              <w:spacing w:line="360" w:lineRule="auto"/>
              <w:ind w:firstLine="0" w:firstLineChars="0"/>
              <w:rPr>
                <w:rFonts w:ascii="Times New Roman" w:hAnsi="Times New Roman" w:eastAsia="宋体" w:cs="Times New Roman"/>
                <w:kern w:val="0"/>
                <w:sz w:val="24"/>
              </w:rPr>
            </w:pPr>
            <w:r>
              <w:rPr>
                <w:rFonts w:ascii="Times New Roman" w:hAnsi="Times New Roman" w:eastAsia="宋体" w:cs="Times New Roman"/>
                <w:kern w:val="0"/>
                <w:sz w:val="24"/>
              </w:rPr>
              <w:t>3、制定标准的原则和依据，与现行法律法规、标准的关系。</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4" w:hRule="atLeast"/>
        </w:trPr>
        <w:tc>
          <w:tcPr>
            <w:tcW w:w="8516" w:type="dxa"/>
            <w:gridSpan w:val="6"/>
            <w:tcBorders>
              <w:top w:val="single" w:color="auto" w:sz="4" w:space="0"/>
              <w:bottom w:val="single" w:color="auto" w:sz="4" w:space="0"/>
            </w:tcBorders>
          </w:tcPr>
          <w:p>
            <w:pPr>
              <w:spacing w:line="360" w:lineRule="auto"/>
              <w:ind w:firstLine="0" w:firstLineChars="0"/>
              <w:rPr>
                <w:rFonts w:ascii="Times New Roman" w:hAnsi="Times New Roman" w:eastAsia="宋体" w:cs="Times New Roman"/>
                <w:kern w:val="0"/>
                <w:sz w:val="24"/>
              </w:rPr>
            </w:pPr>
            <w:r>
              <w:rPr>
                <w:rFonts w:ascii="Times New Roman" w:hAnsi="Times New Roman" w:eastAsia="宋体" w:cs="Times New Roman"/>
                <w:b/>
                <w:bCs/>
                <w:kern w:val="0"/>
                <w:sz w:val="24"/>
              </w:rPr>
              <w:t>本</w:t>
            </w:r>
            <w:r>
              <w:rPr>
                <w:rFonts w:hint="eastAsia" w:ascii="Times New Roman" w:hAnsi="Times New Roman" w:eastAsia="宋体" w:cs="Times New Roman"/>
                <w:b/>
                <w:bCs/>
                <w:kern w:val="0"/>
                <w:sz w:val="24"/>
                <w:lang w:val="en-US" w:eastAsia="zh-CN"/>
              </w:rPr>
              <w:t>导则</w:t>
            </w:r>
            <w:r>
              <w:rPr>
                <w:rFonts w:ascii="Times New Roman" w:hAnsi="Times New Roman" w:eastAsia="宋体" w:cs="Times New Roman"/>
                <w:b/>
                <w:bCs/>
                <w:kern w:val="0"/>
                <w:sz w:val="24"/>
              </w:rPr>
              <w:t>的制定主要遵循以下原则</w:t>
            </w:r>
            <w:r>
              <w:rPr>
                <w:rFonts w:ascii="Times New Roman" w:hAnsi="Times New Roman" w:eastAsia="宋体" w:cs="Times New Roman"/>
                <w:kern w:val="0"/>
                <w:sz w:val="24"/>
              </w:rPr>
              <w:t>：</w:t>
            </w:r>
          </w:p>
          <w:p>
            <w:pPr>
              <w:spacing w:line="360" w:lineRule="auto"/>
              <w:ind w:firstLine="420" w:firstLineChars="0"/>
              <w:jc w:val="both"/>
              <w:rPr>
                <w:rFonts w:ascii="Times New Roman" w:hAnsi="Times New Roman" w:eastAsia="宋体" w:cs="Times New Roman"/>
                <w:kern w:val="0"/>
                <w:sz w:val="24"/>
              </w:rPr>
            </w:pPr>
            <w:r>
              <w:rPr>
                <w:rFonts w:ascii="Times New Roman" w:hAnsi="Times New Roman" w:eastAsia="宋体" w:cs="Times New Roman"/>
                <w:kern w:val="0"/>
                <w:sz w:val="24"/>
              </w:rPr>
              <w:t>一是规范性原则。本</w:t>
            </w:r>
            <w:r>
              <w:rPr>
                <w:rFonts w:hint="eastAsia" w:ascii="Times New Roman" w:hAnsi="Times New Roman" w:eastAsia="宋体" w:cs="Times New Roman"/>
                <w:kern w:val="0"/>
                <w:sz w:val="24"/>
                <w:lang w:val="en-US" w:eastAsia="zh-CN"/>
              </w:rPr>
              <w:t>导则</w:t>
            </w:r>
            <w:r>
              <w:rPr>
                <w:rFonts w:ascii="Times New Roman" w:hAnsi="Times New Roman" w:eastAsia="宋体" w:cs="Times New Roman"/>
                <w:kern w:val="0"/>
                <w:sz w:val="24"/>
              </w:rPr>
              <w:t>按照GB/T 1.1-2020《标准化工作导则 第1部分：标准的结构和起草规则》给出的规则编制，使标准在结构、语言表述和编排格式上符合统一的要求。</w:t>
            </w:r>
          </w:p>
          <w:p>
            <w:pPr>
              <w:spacing w:line="360" w:lineRule="auto"/>
              <w:ind w:firstLine="420" w:firstLineChars="0"/>
              <w:jc w:val="both"/>
              <w:rPr>
                <w:rFonts w:ascii="Times New Roman" w:hAnsi="Times New Roman" w:eastAsia="宋体" w:cs="Times New Roman"/>
                <w:kern w:val="0"/>
                <w:sz w:val="24"/>
              </w:rPr>
            </w:pPr>
            <w:r>
              <w:rPr>
                <w:rFonts w:ascii="Times New Roman" w:hAnsi="Times New Roman" w:eastAsia="宋体" w:cs="Times New Roman"/>
                <w:kern w:val="0"/>
                <w:sz w:val="24"/>
              </w:rPr>
              <w:t>二是协调性原则。本</w:t>
            </w:r>
            <w:r>
              <w:rPr>
                <w:rFonts w:hint="eastAsia" w:ascii="Times New Roman" w:hAnsi="Times New Roman" w:eastAsia="宋体" w:cs="Times New Roman"/>
                <w:kern w:val="0"/>
                <w:sz w:val="24"/>
                <w:lang w:val="en-US" w:eastAsia="zh-CN"/>
              </w:rPr>
              <w:t>导则</w:t>
            </w:r>
            <w:r>
              <w:rPr>
                <w:rFonts w:hint="eastAsia" w:ascii="Times New Roman" w:hAnsi="Times New Roman" w:eastAsia="宋体" w:cs="Times New Roman"/>
                <w:kern w:val="0"/>
                <w:sz w:val="24"/>
              </w:rPr>
              <w:t>要求不低于强制性标准和推荐性国家标准的相关技术要求</w:t>
            </w:r>
            <w:r>
              <w:rPr>
                <w:rFonts w:hint="eastAsia" w:ascii="Times New Roman" w:hAnsi="Times New Roman" w:eastAsia="宋体" w:cs="Times New Roman"/>
                <w:kern w:val="0"/>
                <w:sz w:val="24"/>
                <w:lang w:eastAsia="zh-CN"/>
              </w:rPr>
              <w:t>，</w:t>
            </w:r>
            <w:r>
              <w:rPr>
                <w:rFonts w:ascii="Times New Roman" w:hAnsi="Times New Roman" w:eastAsia="宋体" w:cs="Times New Roman"/>
                <w:kern w:val="0"/>
                <w:sz w:val="24"/>
              </w:rPr>
              <w:t>与</w:t>
            </w:r>
            <w:r>
              <w:rPr>
                <w:rFonts w:hint="eastAsia" w:ascii="Times New Roman" w:hAnsi="Times New Roman" w:eastAsia="宋体" w:cs="Times New Roman"/>
                <w:kern w:val="0"/>
                <w:sz w:val="24"/>
              </w:rPr>
              <w:t>现行的国家标准、行业标准</w:t>
            </w:r>
            <w:r>
              <w:rPr>
                <w:rFonts w:hint="eastAsia" w:ascii="Times New Roman" w:hAnsi="Times New Roman" w:eastAsia="宋体" w:cs="Times New Roman"/>
                <w:kern w:val="0"/>
                <w:sz w:val="24"/>
                <w:lang w:val="en-US" w:eastAsia="zh-CN"/>
              </w:rPr>
              <w:t>相</w:t>
            </w:r>
            <w:r>
              <w:rPr>
                <w:rFonts w:ascii="Times New Roman" w:hAnsi="Times New Roman" w:eastAsia="宋体" w:cs="Times New Roman"/>
                <w:kern w:val="0"/>
                <w:sz w:val="24"/>
              </w:rPr>
              <w:t>协调。</w:t>
            </w:r>
          </w:p>
          <w:p>
            <w:pPr>
              <w:spacing w:line="360" w:lineRule="auto"/>
              <w:ind w:firstLine="420" w:firstLineChars="0"/>
              <w:jc w:val="both"/>
              <w:rPr>
                <w:rFonts w:ascii="Times New Roman" w:hAnsi="Times New Roman" w:eastAsia="宋体" w:cs="Times New Roman"/>
                <w:kern w:val="0"/>
                <w:sz w:val="24"/>
              </w:rPr>
            </w:pPr>
            <w:r>
              <w:rPr>
                <w:rFonts w:ascii="Times New Roman" w:hAnsi="Times New Roman" w:eastAsia="宋体" w:cs="Times New Roman"/>
                <w:kern w:val="0"/>
                <w:sz w:val="24"/>
              </w:rPr>
              <w:t>三是</w:t>
            </w:r>
            <w:r>
              <w:rPr>
                <w:rFonts w:hint="eastAsia" w:ascii="Times New Roman" w:hAnsi="Times New Roman" w:eastAsia="宋体" w:cs="Times New Roman"/>
                <w:kern w:val="0"/>
                <w:sz w:val="24"/>
              </w:rPr>
              <w:t>通用性原则。本</w:t>
            </w:r>
            <w:r>
              <w:rPr>
                <w:rFonts w:hint="eastAsia" w:ascii="Times New Roman" w:hAnsi="Times New Roman" w:eastAsia="宋体" w:cs="Times New Roman"/>
                <w:kern w:val="0"/>
                <w:sz w:val="24"/>
                <w:lang w:val="en-US" w:eastAsia="zh-CN"/>
              </w:rPr>
              <w:t>导则</w:t>
            </w:r>
            <w:r>
              <w:rPr>
                <w:rFonts w:hint="eastAsia" w:ascii="Times New Roman" w:hAnsi="Times New Roman" w:eastAsia="宋体" w:cs="Times New Roman"/>
                <w:kern w:val="0"/>
                <w:sz w:val="24"/>
              </w:rPr>
              <w:t>在确定技术要求时，充分考虑</w:t>
            </w:r>
            <w:r>
              <w:rPr>
                <w:rFonts w:hint="eastAsia" w:ascii="Times New Roman" w:hAnsi="Times New Roman" w:eastAsia="宋体" w:cs="Times New Roman"/>
                <w:kern w:val="0"/>
                <w:sz w:val="24"/>
                <w:lang w:val="en-US" w:eastAsia="zh-CN"/>
              </w:rPr>
              <w:t>六安市城乡公交发展实际情况</w:t>
            </w:r>
            <w:r>
              <w:rPr>
                <w:rFonts w:hint="eastAsia" w:ascii="Times New Roman" w:hAnsi="Times New Roman" w:eastAsia="宋体" w:cs="Times New Roman"/>
                <w:kern w:val="0"/>
                <w:sz w:val="24"/>
              </w:rPr>
              <w:t>，以确保标准的广泛适用性</w:t>
            </w:r>
            <w:r>
              <w:rPr>
                <w:rFonts w:ascii="Times New Roman" w:hAnsi="Times New Roman" w:eastAsia="宋体" w:cs="Times New Roman"/>
                <w:kern w:val="0"/>
                <w:sz w:val="24"/>
              </w:rPr>
              <w:t>。</w:t>
            </w:r>
          </w:p>
          <w:p>
            <w:pPr>
              <w:spacing w:line="360" w:lineRule="auto"/>
              <w:ind w:firstLine="420" w:firstLineChars="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四是合理性原则。本导则的制定基于实际需求、科学依据等考量，确保导则具有合理性，为城乡公交线网规划提供了坚实的基础和保障。</w:t>
            </w:r>
          </w:p>
          <w:p>
            <w:pPr>
              <w:spacing w:line="360" w:lineRule="auto"/>
              <w:ind w:firstLine="420" w:firstLineChars="0"/>
              <w:jc w:val="both"/>
              <w:rPr>
                <w:rFonts w:hint="default"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五是可操作性原则。在导则起草过程中注重可操作性，便于城乡公交线网的实际运营，在设置过程中可依照本导则中的线网规划和配套设施与信息化建设，确保其有章可循。</w:t>
            </w:r>
          </w:p>
          <w:p>
            <w:pPr>
              <w:widowControl w:val="0"/>
              <w:spacing w:line="360" w:lineRule="auto"/>
              <w:ind w:firstLine="0" w:firstLineChars="0"/>
              <w:rPr>
                <w:rFonts w:ascii="Times New Roman" w:hAnsi="Times New Roman" w:eastAsia="宋体" w:cs="Times New Roman"/>
                <w:kern w:val="0"/>
                <w:sz w:val="24"/>
              </w:rPr>
            </w:pPr>
            <w:r>
              <w:rPr>
                <w:rFonts w:ascii="Times New Roman" w:hAnsi="Times New Roman" w:eastAsia="宋体" w:cs="Times New Roman"/>
                <w:b/>
                <w:bCs/>
                <w:kern w:val="0"/>
                <w:sz w:val="24"/>
              </w:rPr>
              <w:t>本</w:t>
            </w:r>
            <w:r>
              <w:rPr>
                <w:rFonts w:hint="eastAsia" w:ascii="Times New Roman" w:hAnsi="Times New Roman" w:eastAsia="宋体" w:cs="Times New Roman"/>
                <w:b/>
                <w:bCs/>
                <w:kern w:val="0"/>
                <w:sz w:val="24"/>
                <w:lang w:val="en-US" w:eastAsia="zh-CN"/>
              </w:rPr>
              <w:t>导则</w:t>
            </w:r>
            <w:r>
              <w:rPr>
                <w:rFonts w:ascii="Times New Roman" w:hAnsi="Times New Roman" w:eastAsia="宋体" w:cs="Times New Roman"/>
                <w:b/>
                <w:bCs/>
                <w:kern w:val="0"/>
                <w:sz w:val="24"/>
              </w:rPr>
              <w:t>制定的依据</w:t>
            </w:r>
            <w:r>
              <w:rPr>
                <w:rFonts w:ascii="Times New Roman" w:hAnsi="Times New Roman" w:eastAsia="宋体" w:cs="Times New Roman"/>
                <w:kern w:val="0"/>
                <w:sz w:val="24"/>
              </w:rPr>
              <w:t>：</w:t>
            </w:r>
          </w:p>
          <w:p>
            <w:pPr>
              <w:widowControl w:val="0"/>
              <w:spacing w:line="360" w:lineRule="auto"/>
              <w:ind w:firstLine="480"/>
              <w:jc w:val="both"/>
              <w:rPr>
                <w:rFonts w:ascii="Times New Roman" w:hAnsi="Times New Roman" w:eastAsia="宋体" w:cs="Times New Roman"/>
                <w:kern w:val="0"/>
                <w:sz w:val="24"/>
              </w:rPr>
            </w:pPr>
            <w:r>
              <w:rPr>
                <w:rFonts w:hint="eastAsia" w:ascii="Times New Roman" w:hAnsi="Times New Roman" w:eastAsia="宋体" w:cs="Times New Roman"/>
                <w:kern w:val="0"/>
                <w:sz w:val="24"/>
                <w:highlight w:val="none"/>
              </w:rPr>
              <w:t>本</w:t>
            </w:r>
            <w:r>
              <w:rPr>
                <w:rFonts w:hint="eastAsia" w:ascii="Times New Roman" w:hAnsi="Times New Roman" w:eastAsia="宋体" w:cs="Times New Roman"/>
                <w:kern w:val="0"/>
                <w:sz w:val="24"/>
                <w:highlight w:val="none"/>
                <w:lang w:val="en-US" w:eastAsia="zh-CN"/>
              </w:rPr>
              <w:t>导则</w:t>
            </w:r>
            <w:r>
              <w:rPr>
                <w:rFonts w:hint="eastAsia" w:ascii="Times New Roman" w:hAnsi="Times New Roman" w:eastAsia="宋体" w:cs="Times New Roman"/>
                <w:kern w:val="0"/>
                <w:sz w:val="24"/>
                <w:highlight w:val="none"/>
              </w:rPr>
              <w:t>的制订主要依据国家有关</w:t>
            </w:r>
            <w:r>
              <w:rPr>
                <w:rFonts w:hint="eastAsia" w:ascii="Times New Roman" w:hAnsi="Times New Roman" w:eastAsia="宋体" w:cs="Times New Roman"/>
                <w:kern w:val="0"/>
                <w:sz w:val="24"/>
                <w:highlight w:val="none"/>
                <w:lang w:eastAsia="zh-CN"/>
              </w:rPr>
              <w:t>法律法规</w:t>
            </w:r>
            <w:r>
              <w:rPr>
                <w:rFonts w:hint="eastAsia" w:ascii="Times New Roman" w:hAnsi="Times New Roman" w:eastAsia="宋体" w:cs="Times New Roman"/>
                <w:kern w:val="0"/>
                <w:sz w:val="24"/>
                <w:highlight w:val="none"/>
              </w:rPr>
              <w:t>及六安市地方标准管理办法以及GB/T1.1《标准化工作导则 第1部分：标准的结构和编写》。基于</w:t>
            </w:r>
            <w:r>
              <w:rPr>
                <w:rFonts w:hint="eastAsia" w:ascii="Times New Roman" w:hAnsi="Times New Roman" w:eastAsia="宋体" w:cs="Times New Roman"/>
                <w:kern w:val="0"/>
                <w:sz w:val="24"/>
                <w:highlight w:val="none"/>
                <w:lang w:val="en-US" w:eastAsia="zh-CN"/>
              </w:rPr>
              <w:t>六安市</w:t>
            </w:r>
            <w:r>
              <w:rPr>
                <w:rFonts w:hint="eastAsia" w:ascii="Times New Roman" w:hAnsi="Times New Roman" w:eastAsia="宋体" w:cs="Times New Roman"/>
                <w:kern w:val="0"/>
                <w:sz w:val="24"/>
                <w:highlight w:val="none"/>
              </w:rPr>
              <w:t>城乡公交线网规划的当前状况与未来发展需求，同时参照《城市公共交通规划编制技术导则》（JT/T 1486-2023）等相关行业标准、国家及安徽省关于城乡公交一体化的政策导向，以及国内外城乡公交线网规划的成功案例与先进经验，综合考量了六安市的地方实际情况与特色，确保导则内容的科学性、前瞻性和可操作性。</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tcBorders>
          </w:tcPr>
          <w:p>
            <w:pPr>
              <w:spacing w:line="360" w:lineRule="auto"/>
              <w:ind w:firstLine="0" w:firstLineChars="0"/>
              <w:rPr>
                <w:rFonts w:ascii="Times New Roman" w:hAnsi="Times New Roman" w:eastAsia="宋体" w:cs="Times New Roman"/>
                <w:b/>
                <w:bCs/>
                <w:kern w:val="0"/>
                <w:sz w:val="24"/>
              </w:rPr>
            </w:pPr>
            <w:r>
              <w:rPr>
                <w:rFonts w:ascii="Times New Roman" w:hAnsi="Times New Roman" w:eastAsia="宋体" w:cs="Times New Roman"/>
                <w:kern w:val="0"/>
                <w:sz w:val="24"/>
              </w:rPr>
              <w:t>4、主要条款的说明，主要技术指标、参数、试验验证的论述(详细说明)</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tcBorders>
          </w:tcPr>
          <w:p>
            <w:pPr>
              <w:spacing w:line="360" w:lineRule="auto"/>
              <w:ind w:firstLine="0" w:firstLineChars="0"/>
              <w:rPr>
                <w:rFonts w:ascii="Times New Roman" w:hAnsi="Times New Roman" w:eastAsia="宋体" w:cs="Times New Roman"/>
                <w:b/>
                <w:bCs/>
                <w:kern w:val="0"/>
                <w:sz w:val="24"/>
              </w:rPr>
            </w:pPr>
            <w:r>
              <w:rPr>
                <w:rFonts w:ascii="Times New Roman" w:hAnsi="Times New Roman" w:eastAsia="宋体" w:cs="Times New Roman"/>
                <w:b/>
                <w:bCs/>
                <w:kern w:val="0"/>
                <w:sz w:val="24"/>
              </w:rPr>
              <w:t>主要条款</w:t>
            </w:r>
            <w:r>
              <w:rPr>
                <w:rFonts w:hint="eastAsia" w:ascii="Times New Roman" w:hAnsi="Times New Roman" w:eastAsia="宋体" w:cs="Times New Roman"/>
                <w:b/>
                <w:bCs/>
                <w:kern w:val="0"/>
                <w:sz w:val="24"/>
                <w:lang w:eastAsia="zh-CN"/>
              </w:rPr>
              <w:t>：</w:t>
            </w:r>
          </w:p>
          <w:p>
            <w:pPr>
              <w:spacing w:line="360" w:lineRule="auto"/>
              <w:ind w:firstLine="480"/>
              <w:jc w:val="both"/>
              <w:rPr>
                <w:rFonts w:ascii="Times New Roman" w:hAnsi="Times New Roman" w:eastAsia="宋体" w:cs="Times New Roman"/>
                <w:kern w:val="0"/>
                <w:sz w:val="24"/>
              </w:rPr>
            </w:pPr>
            <w:r>
              <w:rPr>
                <w:rFonts w:hint="eastAsia" w:ascii="Times New Roman" w:hAnsi="Times New Roman" w:eastAsia="宋体" w:cs="Times New Roman"/>
                <w:kern w:val="0"/>
                <w:sz w:val="24"/>
              </w:rPr>
              <w:t>本</w:t>
            </w:r>
            <w:r>
              <w:rPr>
                <w:rFonts w:hint="eastAsia" w:ascii="Times New Roman" w:hAnsi="Times New Roman" w:eastAsia="宋体" w:cs="Times New Roman"/>
                <w:kern w:val="0"/>
                <w:sz w:val="24"/>
                <w:lang w:val="en-US" w:eastAsia="zh-CN"/>
              </w:rPr>
              <w:t>导则的章节由</w:t>
            </w:r>
            <w:r>
              <w:rPr>
                <w:rFonts w:ascii="Times New Roman" w:hAnsi="Times New Roman" w:eastAsia="宋体" w:cs="Times New Roman"/>
                <w:kern w:val="0"/>
                <w:sz w:val="24"/>
              </w:rPr>
              <w:t>范围、规范性引用文件、术语和定义、</w:t>
            </w:r>
            <w:r>
              <w:rPr>
                <w:rFonts w:hint="eastAsia" w:ascii="Times New Roman" w:hAnsi="Times New Roman" w:eastAsia="宋体" w:cs="Times New Roman"/>
                <w:kern w:val="0"/>
                <w:sz w:val="24"/>
              </w:rPr>
              <w:t>总体要求、现状与需求分析、线网规划、配套设施与信息化建设内容</w:t>
            </w:r>
            <w:r>
              <w:rPr>
                <w:rFonts w:hint="eastAsia" w:ascii="Times New Roman" w:hAnsi="Times New Roman" w:eastAsia="宋体" w:cs="Times New Roman"/>
                <w:kern w:val="0"/>
                <w:sz w:val="24"/>
                <w:lang w:eastAsia="zh-CN"/>
              </w:rPr>
              <w:t>组成。</w:t>
            </w:r>
            <w:r>
              <w:rPr>
                <w:rFonts w:ascii="Times New Roman" w:hAnsi="Times New Roman" w:eastAsia="宋体" w:cs="Times New Roman"/>
                <w:kern w:val="0"/>
                <w:sz w:val="24"/>
              </w:rPr>
              <w:t>其中</w:t>
            </w:r>
            <w:r>
              <w:rPr>
                <w:rFonts w:hint="eastAsia" w:ascii="Times New Roman" w:hAnsi="Times New Roman" w:eastAsia="宋体" w:cs="Times New Roman"/>
                <w:kern w:val="0"/>
                <w:sz w:val="24"/>
                <w:lang w:eastAsia="zh-CN"/>
              </w:rPr>
              <w:t>“</w:t>
            </w:r>
            <w:r>
              <w:rPr>
                <w:rFonts w:hint="eastAsia" w:ascii="Times New Roman" w:hAnsi="Times New Roman" w:eastAsia="宋体" w:cs="Times New Roman"/>
                <w:kern w:val="0"/>
                <w:sz w:val="24"/>
              </w:rPr>
              <w:t>线网规划</w:t>
            </w:r>
            <w:r>
              <w:rPr>
                <w:rFonts w:hint="eastAsia" w:ascii="Times New Roman" w:hAnsi="Times New Roman" w:eastAsia="宋体" w:cs="Times New Roman"/>
                <w:kern w:val="0"/>
                <w:sz w:val="24"/>
                <w:lang w:eastAsia="zh-CN"/>
              </w:rPr>
              <w:t>”</w:t>
            </w:r>
            <w:r>
              <w:rPr>
                <w:rFonts w:ascii="Times New Roman" w:hAnsi="Times New Roman" w:eastAsia="宋体" w:cs="Times New Roman"/>
                <w:kern w:val="0"/>
                <w:sz w:val="24"/>
              </w:rPr>
              <w:t>是本</w:t>
            </w:r>
            <w:r>
              <w:rPr>
                <w:rFonts w:hint="eastAsia" w:ascii="Times New Roman" w:hAnsi="Times New Roman" w:eastAsia="宋体" w:cs="Times New Roman"/>
                <w:kern w:val="0"/>
                <w:sz w:val="24"/>
                <w:lang w:val="en-US" w:eastAsia="zh-CN"/>
              </w:rPr>
              <w:t>导则</w:t>
            </w:r>
            <w:r>
              <w:rPr>
                <w:rFonts w:ascii="Times New Roman" w:hAnsi="Times New Roman" w:eastAsia="宋体" w:cs="Times New Roman"/>
                <w:kern w:val="0"/>
                <w:sz w:val="24"/>
              </w:rPr>
              <w:t>的主要技术内容。</w:t>
            </w:r>
          </w:p>
          <w:p>
            <w:pPr>
              <w:spacing w:line="360" w:lineRule="auto"/>
              <w:ind w:firstLine="480"/>
              <w:jc w:val="both"/>
              <w:rPr>
                <w:rFonts w:ascii="Times New Roman" w:hAnsi="Times New Roman" w:eastAsia="宋体" w:cs="Times New Roman"/>
                <w:kern w:val="0"/>
                <w:sz w:val="24"/>
              </w:rPr>
            </w:pPr>
            <w:r>
              <w:rPr>
                <w:rFonts w:hint="eastAsia" w:ascii="Times New Roman" w:hAnsi="Times New Roman" w:eastAsia="宋体" w:cs="Times New Roman"/>
                <w:kern w:val="0"/>
                <w:sz w:val="24"/>
              </w:rPr>
              <w:t>本</w:t>
            </w:r>
            <w:r>
              <w:rPr>
                <w:rFonts w:hint="eastAsia" w:ascii="Times New Roman" w:hAnsi="Times New Roman" w:eastAsia="宋体" w:cs="Times New Roman"/>
                <w:kern w:val="0"/>
                <w:sz w:val="24"/>
                <w:lang w:val="en-US" w:eastAsia="zh-CN"/>
              </w:rPr>
              <w:t>导则</w:t>
            </w:r>
            <w:r>
              <w:rPr>
                <w:rFonts w:hint="eastAsia" w:ascii="Times New Roman" w:hAnsi="Times New Roman" w:eastAsia="宋体" w:cs="Times New Roman"/>
                <w:kern w:val="0"/>
                <w:sz w:val="24"/>
              </w:rPr>
              <w:t>适用于六安市、县（区）城乡公交线网规划编制。</w:t>
            </w:r>
          </w:p>
          <w:p>
            <w:pPr>
              <w:spacing w:line="360" w:lineRule="auto"/>
              <w:ind w:firstLine="0" w:firstLineChars="0"/>
              <w:jc w:val="both"/>
              <w:rPr>
                <w:rFonts w:ascii="Times New Roman" w:hAnsi="Times New Roman" w:eastAsia="宋体" w:cs="Times New Roman"/>
                <w:kern w:val="0"/>
                <w:sz w:val="24"/>
                <w:highlight w:val="none"/>
              </w:rPr>
            </w:pPr>
            <w:r>
              <w:rPr>
                <w:rFonts w:ascii="Times New Roman" w:hAnsi="Times New Roman" w:eastAsia="宋体" w:cs="Times New Roman"/>
                <w:b/>
                <w:bCs/>
                <w:kern w:val="0"/>
                <w:sz w:val="24"/>
                <w:highlight w:val="none"/>
              </w:rPr>
              <w:t>主要技术指标、参数</w:t>
            </w:r>
            <w:r>
              <w:rPr>
                <w:rFonts w:hint="eastAsia" w:ascii="Times New Roman" w:hAnsi="Times New Roman" w:eastAsia="宋体" w:cs="Times New Roman"/>
                <w:b/>
                <w:bCs/>
                <w:kern w:val="0"/>
                <w:sz w:val="24"/>
                <w:highlight w:val="none"/>
                <w:lang w:eastAsia="zh-CN"/>
              </w:rPr>
              <w:t>：</w:t>
            </w:r>
          </w:p>
          <w:p>
            <w:pPr>
              <w:spacing w:line="360" w:lineRule="auto"/>
              <w:ind w:firstLine="480"/>
              <w:rPr>
                <w:rFonts w:ascii="Times New Roman" w:hAnsi="Times New Roman" w:eastAsia="宋体" w:cs="Times New Roman"/>
                <w:kern w:val="0"/>
                <w:sz w:val="24"/>
              </w:rPr>
            </w:pPr>
            <w:r>
              <w:rPr>
                <w:rFonts w:hint="eastAsia" w:ascii="Times New Roman" w:hAnsi="Times New Roman" w:eastAsia="宋体" w:cs="Times New Roman"/>
                <w:sz w:val="24"/>
              </w:rPr>
              <w:t>一、</w:t>
            </w:r>
            <w:r>
              <w:rPr>
                <w:rFonts w:ascii="Times New Roman" w:hAnsi="Times New Roman" w:eastAsia="宋体" w:cs="Times New Roman"/>
                <w:sz w:val="24"/>
              </w:rPr>
              <w:t>规定了</w:t>
            </w:r>
            <w:r>
              <w:rPr>
                <w:rFonts w:hint="eastAsia" w:ascii="Times New Roman" w:hAnsi="Times New Roman" w:eastAsia="宋体" w:cs="Times New Roman"/>
                <w:sz w:val="24"/>
                <w:lang w:val="en-US" w:eastAsia="zh-CN"/>
              </w:rPr>
              <w:t>城乡公交</w:t>
            </w:r>
            <w:r>
              <w:rPr>
                <w:rFonts w:ascii="Times New Roman" w:hAnsi="Times New Roman" w:eastAsia="宋体" w:cs="Times New Roman"/>
                <w:sz w:val="24"/>
              </w:rPr>
              <w:t>的</w:t>
            </w:r>
            <w:r>
              <w:rPr>
                <w:rFonts w:ascii="Times New Roman" w:hAnsi="Times New Roman" w:eastAsia="宋体" w:cs="Times New Roman"/>
                <w:kern w:val="0"/>
                <w:sz w:val="24"/>
              </w:rPr>
              <w:t>定义</w:t>
            </w:r>
            <w:r>
              <w:rPr>
                <w:rFonts w:hint="eastAsia" w:ascii="Times New Roman" w:hAnsi="Times New Roman" w:eastAsia="宋体" w:cs="Times New Roman"/>
                <w:kern w:val="0"/>
                <w:sz w:val="24"/>
              </w:rPr>
              <w:t>，在县（市、区）范围内，线路起讫点至少有一端在乡村，按照公交化模式运营为城乡居民提供出行服务的公共汽（电）车运输方式，它包括城镇公交、镇镇公交、镇村公交和需求响应式公交。</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rPr>
              <w:t>二、确定了城乡公交线网规划</w:t>
            </w:r>
            <w:r>
              <w:rPr>
                <w:rFonts w:hint="eastAsia" w:ascii="Times New Roman" w:hAnsi="Times New Roman" w:eastAsia="宋体" w:cs="Times New Roman"/>
                <w:kern w:val="0"/>
                <w:sz w:val="24"/>
                <w:lang w:eastAsia="zh-CN"/>
              </w:rPr>
              <w:t>的</w:t>
            </w:r>
            <w:r>
              <w:rPr>
                <w:rFonts w:hint="eastAsia" w:ascii="Times New Roman" w:hAnsi="Times New Roman" w:eastAsia="宋体" w:cs="Times New Roman"/>
                <w:kern w:val="0"/>
                <w:sz w:val="24"/>
                <w:lang w:val="en-US" w:eastAsia="zh-CN"/>
              </w:rPr>
              <w:t>总体要求。城乡公交线网规划应统筹考虑便民出行与企业降本增效，满足公众基本出行需求。城乡公交线网规划应符合城乡发展相关规划，宜对重大公共交通基础设施的远景发展进行布局规划和用地控制。城乡公交线网规划应与城市公交、客运班线等其它运输方式相衔接。</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三、规定了城乡公交线网规划的</w:t>
            </w:r>
            <w:r>
              <w:rPr>
                <w:rFonts w:hint="eastAsia" w:ascii="Times New Roman" w:hAnsi="Times New Roman" w:eastAsia="宋体" w:cs="Times New Roman"/>
                <w:kern w:val="0"/>
                <w:sz w:val="24"/>
              </w:rPr>
              <w:t>现状与需求分析</w:t>
            </w:r>
            <w:r>
              <w:rPr>
                <w:rFonts w:hint="eastAsia" w:ascii="Times New Roman" w:hAnsi="Times New Roman" w:eastAsia="宋体" w:cs="Times New Roman"/>
                <w:kern w:val="0"/>
                <w:sz w:val="24"/>
                <w:lang w:val="en-US" w:eastAsia="zh-CN"/>
              </w:rPr>
              <w:t>内容。编制城乡公交线网规划调研调研对象应包括政府部门调研、相关企业调研和社会公众。居民出行调查对象包括年满6周岁以上的居民、暂住人口和流动人口，调查内容应包括调查对象的社会经济属性和出行特征。交通需求分析应包括人口与就业岗位特征分析、公交出行时空特征分析、主要客流集散点和公共交通走廊的客流特征分析、公交设施和运力需求分析。</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四、确定了线网规划的客流条件、线路布局和运营时间：</w:t>
            </w:r>
          </w:p>
          <w:p>
            <w:pPr>
              <w:spacing w:line="360" w:lineRule="auto"/>
              <w:ind w:firstLine="480"/>
              <w:jc w:val="both"/>
              <w:rPr>
                <w:rFonts w:hint="eastAsia" w:ascii="Times New Roman" w:hAnsi="Times New Roman" w:eastAsia="宋体" w:cs="Times New Roman"/>
                <w:b/>
                <w:bCs/>
                <w:kern w:val="0"/>
                <w:sz w:val="24"/>
                <w:lang w:val="en-US" w:eastAsia="zh-CN"/>
              </w:rPr>
            </w:pPr>
            <w:r>
              <w:rPr>
                <w:rFonts w:hint="eastAsia" w:ascii="Times New Roman" w:hAnsi="Times New Roman" w:eastAsia="宋体" w:cs="Times New Roman"/>
                <w:b/>
                <w:bCs/>
                <w:kern w:val="0"/>
                <w:sz w:val="24"/>
                <w:lang w:val="en-US" w:eastAsia="zh-CN"/>
              </w:rPr>
              <w:t>客流条件：</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对于城镇之间日均客流强度大于80人次的，宜开通城镇公交线路。</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对于镇镇之间日均客流强度大于60人次的，宜开通镇镇公交线路。</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对于撤乡并镇后的街道或行政村，宜开通镇村公交线路。</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对于日均客流强度低于10人次的线路，可开通需求响应式公交替代常态化运营的公交，线路设置应符合 JT/T 1355 规定。</w:t>
            </w:r>
          </w:p>
          <w:p>
            <w:pPr>
              <w:spacing w:line="360" w:lineRule="auto"/>
              <w:ind w:firstLine="480"/>
              <w:jc w:val="both"/>
              <w:rPr>
                <w:rFonts w:hint="eastAsia" w:ascii="Times New Roman" w:hAnsi="Times New Roman" w:eastAsia="宋体" w:cs="Times New Roman"/>
                <w:b/>
                <w:bCs/>
                <w:kern w:val="0"/>
                <w:sz w:val="24"/>
                <w:lang w:val="en-US" w:eastAsia="zh-CN"/>
              </w:rPr>
            </w:pPr>
            <w:r>
              <w:rPr>
                <w:rFonts w:hint="eastAsia" w:ascii="Times New Roman" w:hAnsi="Times New Roman" w:eastAsia="宋体" w:cs="Times New Roman"/>
                <w:b/>
                <w:bCs/>
                <w:kern w:val="0"/>
                <w:sz w:val="24"/>
                <w:lang w:val="en-US" w:eastAsia="zh-CN"/>
              </w:rPr>
              <w:t>线路布局：</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城乡公交线网规划应充分考虑线路原途经区域的连通性和乘客的乘车习惯，对已有的合理线路宜保留。</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线路布局与客流方向一致，优先对客流量较大路段进行线路布设，主要客流集散点之间宜设置直达线路，减少换乘。</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城镇、镇镇公交应根据客流需求、功能定位及服务区域等合理确定线路走向及长度，但线路长度不宜超过60公里。</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镇村公交宜覆盖城镇、镇镇公交的盲区。</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需求响应式公交应结合道路、车辆条件等，明确响应开通条件和运营范围，灵活运营。</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公交线路重复系数超过70%的，可通过线路合并、调整发车频次或重新规划站点布局等方式进行优化。</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线网覆盖率、站点覆盖率、乘客平均换乘系数、线网密度、线路重复系数等指标应满足 GB/T 22484、GB 50220的规定。</w:t>
            </w:r>
          </w:p>
          <w:p>
            <w:pPr>
              <w:spacing w:line="360" w:lineRule="auto"/>
              <w:ind w:firstLine="480"/>
              <w:jc w:val="both"/>
              <w:rPr>
                <w:rFonts w:hint="eastAsia" w:ascii="Times New Roman" w:hAnsi="Times New Roman" w:eastAsia="宋体" w:cs="Times New Roman"/>
                <w:b/>
                <w:bCs/>
                <w:kern w:val="0"/>
                <w:sz w:val="24"/>
                <w:lang w:val="en-US" w:eastAsia="zh-CN"/>
              </w:rPr>
            </w:pPr>
            <w:r>
              <w:rPr>
                <w:rFonts w:hint="eastAsia" w:ascii="Times New Roman" w:hAnsi="Times New Roman" w:eastAsia="宋体" w:cs="Times New Roman"/>
                <w:b/>
                <w:bCs/>
                <w:kern w:val="0"/>
                <w:sz w:val="24"/>
                <w:lang w:val="en-US" w:eastAsia="zh-CN"/>
              </w:rPr>
              <w:t>运营时间：</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发车频次应与客流强度匹配，其中主线发车频次不宜低于1小时/班，早晚高峰不宜低于30分钟/班。</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应根据线路客流特征、当地城乡居民作息习惯和季节，合理确定首末班车发车时间，首班车不宜早于6:00；末班车不宜晚于19:00。</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jc w:val="both"/>
              <w:textAlignment w:val="auto"/>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发车间隔和运营班次应结合线路里程、客流量、车辆运能等因素确定。客流量小的镇村公交线路可适当减少班次，但应满足城乡居民基本公交出行需求。</w:t>
            </w:r>
          </w:p>
          <w:p>
            <w:pPr>
              <w:spacing w:line="360" w:lineRule="auto"/>
              <w:ind w:firstLine="480"/>
              <w:jc w:val="both"/>
              <w:rPr>
                <w:rFonts w:hint="eastAsia" w:ascii="Times New Roman" w:hAnsi="Times New Roman" w:eastAsia="宋体" w:cs="Times New Roman"/>
                <w:kern w:val="0"/>
                <w:sz w:val="24"/>
                <w:lang w:val="en-US" w:eastAsia="zh-CN"/>
              </w:rPr>
            </w:pPr>
            <w:r>
              <w:rPr>
                <w:rFonts w:hint="eastAsia" w:ascii="Times New Roman" w:hAnsi="Times New Roman" w:eastAsia="宋体" w:cs="Times New Roman"/>
                <w:kern w:val="0"/>
                <w:sz w:val="24"/>
                <w:lang w:val="en-US" w:eastAsia="zh-CN"/>
              </w:rPr>
              <w:t>五、配套设施与信息化建设。线路起讫点的乡镇应建设首末站或乡镇综合运输服务站，鼓励共享使用现有的城市公共交通、道路客运场站及充电桩等资源；并注重合理配置站点、站牌和运力；鼓励建设城乡公交调度系统，安装具备主动安全智能防控功能的信息系统。</w:t>
            </w:r>
          </w:p>
          <w:p>
            <w:pPr>
              <w:spacing w:line="360" w:lineRule="auto"/>
              <w:ind w:firstLine="0" w:firstLineChars="0"/>
              <w:jc w:val="both"/>
              <w:rPr>
                <w:rFonts w:ascii="Times New Roman" w:hAnsi="Times New Roman" w:eastAsia="宋体" w:cs="Times New Roman"/>
                <w:b/>
                <w:bCs/>
                <w:kern w:val="0"/>
                <w:sz w:val="24"/>
              </w:rPr>
            </w:pPr>
            <w:r>
              <w:rPr>
                <w:rFonts w:ascii="Times New Roman" w:hAnsi="Times New Roman" w:eastAsia="宋体" w:cs="Times New Roman"/>
                <w:b/>
                <w:bCs/>
                <w:kern w:val="0"/>
                <w:sz w:val="24"/>
              </w:rPr>
              <w:t>试验验证的论述：</w:t>
            </w:r>
          </w:p>
          <w:p>
            <w:pPr>
              <w:spacing w:line="360" w:lineRule="auto"/>
              <w:ind w:firstLine="480"/>
              <w:jc w:val="both"/>
              <w:rPr>
                <w:rFonts w:ascii="Times New Roman" w:hAnsi="Times New Roman" w:eastAsia="宋体" w:cs="Times New Roman"/>
                <w:kern w:val="0"/>
                <w:sz w:val="24"/>
              </w:rPr>
            </w:pPr>
            <w:r>
              <w:rPr>
                <w:rFonts w:ascii="Times New Roman" w:hAnsi="Times New Roman" w:eastAsia="宋体" w:cs="Times New Roman"/>
                <w:kern w:val="0"/>
                <w:sz w:val="24"/>
              </w:rPr>
              <w:t>本</w:t>
            </w:r>
            <w:r>
              <w:rPr>
                <w:rFonts w:hint="eastAsia" w:ascii="Times New Roman" w:hAnsi="Times New Roman" w:eastAsia="宋体" w:cs="Times New Roman"/>
                <w:kern w:val="0"/>
                <w:sz w:val="24"/>
                <w:lang w:val="en-US" w:eastAsia="zh-CN"/>
              </w:rPr>
              <w:t>导则</w:t>
            </w:r>
            <w:r>
              <w:rPr>
                <w:rFonts w:hint="eastAsia" w:ascii="Times New Roman" w:hAnsi="Times New Roman" w:eastAsia="宋体" w:cs="Times New Roman"/>
                <w:kern w:val="0"/>
                <w:sz w:val="24"/>
              </w:rPr>
              <w:t>制定过程中起草组认真吸取了</w:t>
            </w:r>
            <w:r>
              <w:rPr>
                <w:rFonts w:hint="eastAsia" w:ascii="Times New Roman" w:hAnsi="Times New Roman" w:eastAsia="宋体" w:cs="Times New Roman"/>
                <w:kern w:val="0"/>
                <w:sz w:val="24"/>
                <w:lang w:val="en-US" w:eastAsia="zh-CN"/>
              </w:rPr>
              <w:t>省内多个地市</w:t>
            </w:r>
            <w:r>
              <w:rPr>
                <w:rFonts w:ascii="宋体" w:hAnsi="宋体" w:eastAsia="宋体" w:cs="宋体"/>
                <w:sz w:val="24"/>
                <w:szCs w:val="24"/>
              </w:rPr>
              <w:t>城乡公交线网规划的成功经验，并邀请相关领域的专家与行业主管部门反复讨论，确保</w:t>
            </w:r>
            <w:r>
              <w:rPr>
                <w:rFonts w:hint="eastAsia" w:ascii="宋体" w:hAnsi="宋体" w:eastAsia="宋体" w:cs="宋体"/>
                <w:sz w:val="24"/>
                <w:szCs w:val="24"/>
                <w:lang w:val="en-US" w:eastAsia="zh-CN"/>
              </w:rPr>
              <w:t>本导则</w:t>
            </w:r>
            <w:r>
              <w:rPr>
                <w:rFonts w:ascii="宋体" w:hAnsi="宋体" w:eastAsia="宋体" w:cs="宋体"/>
                <w:sz w:val="24"/>
                <w:szCs w:val="24"/>
              </w:rPr>
              <w:t>符合国家及地方的相关政策法规。通过与实际运营数据的比对与模拟分析，验证了所提出的规划方案的可行性和科学性。实验验证结果表明，依据该</w:t>
            </w:r>
            <w:r>
              <w:rPr>
                <w:rFonts w:hint="eastAsia" w:ascii="宋体" w:hAnsi="宋体" w:eastAsia="宋体" w:cs="宋体"/>
                <w:sz w:val="24"/>
                <w:szCs w:val="24"/>
                <w:lang w:val="en-US" w:eastAsia="zh-CN"/>
              </w:rPr>
              <w:t>导则</w:t>
            </w:r>
            <w:r>
              <w:rPr>
                <w:rFonts w:ascii="宋体" w:hAnsi="宋体" w:eastAsia="宋体" w:cs="宋体"/>
                <w:sz w:val="24"/>
                <w:szCs w:val="24"/>
              </w:rPr>
              <w:t>规划设计的城乡公交线路、站点设置和运力配置，能够有效提升公交服务覆盖率，优化线路运行效率，具有较强的操作性与可实施性。</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Pr>
          <w:p>
            <w:pPr>
              <w:spacing w:line="360" w:lineRule="auto"/>
              <w:ind w:firstLine="0" w:firstLineChars="0"/>
              <w:rPr>
                <w:rFonts w:ascii="Times New Roman" w:hAnsi="Times New Roman" w:eastAsia="宋体" w:cs="Times New Roman"/>
                <w:kern w:val="0"/>
                <w:sz w:val="24"/>
              </w:rPr>
            </w:pPr>
            <w:r>
              <w:rPr>
                <w:rFonts w:ascii="Times New Roman" w:hAnsi="Times New Roman" w:eastAsia="宋体" w:cs="Times New Roman"/>
                <w:kern w:val="0"/>
                <w:sz w:val="24"/>
              </w:rPr>
              <w:t>5、标准中如果涉及专利，应有明确的知识产权说明</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bottom w:val="single" w:color="auto" w:sz="4" w:space="0"/>
            </w:tcBorders>
          </w:tcPr>
          <w:p>
            <w:pPr>
              <w:spacing w:line="360" w:lineRule="auto"/>
              <w:ind w:firstLine="480"/>
              <w:jc w:val="both"/>
              <w:rPr>
                <w:rFonts w:ascii="Times New Roman" w:hAnsi="Times New Roman" w:eastAsia="宋体" w:cs="Times New Roman"/>
                <w:kern w:val="0"/>
                <w:sz w:val="24"/>
              </w:rPr>
            </w:pPr>
            <w:r>
              <w:rPr>
                <w:rFonts w:hint="eastAsia" w:ascii="Times New Roman" w:hAnsi="Times New Roman" w:eastAsia="宋体" w:cs="Times New Roman"/>
                <w:kern w:val="0"/>
                <w:sz w:val="24"/>
                <w:lang w:val="en-US" w:eastAsia="zh-CN"/>
              </w:rPr>
              <w:t>无</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bottom w:val="single" w:color="auto" w:sz="4" w:space="0"/>
            </w:tcBorders>
          </w:tcPr>
          <w:p>
            <w:pPr>
              <w:spacing w:line="360" w:lineRule="auto"/>
              <w:ind w:firstLine="0" w:firstLineChars="0"/>
              <w:jc w:val="both"/>
              <w:rPr>
                <w:rFonts w:ascii="Times New Roman" w:hAnsi="Times New Roman" w:eastAsia="宋体" w:cs="Times New Roman"/>
                <w:kern w:val="0"/>
                <w:sz w:val="24"/>
              </w:rPr>
            </w:pPr>
            <w:r>
              <w:rPr>
                <w:rFonts w:ascii="Times New Roman" w:hAnsi="Times New Roman" w:eastAsia="宋体" w:cs="Times New Roman"/>
                <w:kern w:val="0"/>
                <w:sz w:val="24"/>
              </w:rPr>
              <w:t>6、采用国际标准或国外先进标准的，说明采标程度，以及国内外同类标准水平的对比情况</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tcBorders>
          </w:tcPr>
          <w:p>
            <w:pPr>
              <w:spacing w:line="360" w:lineRule="auto"/>
              <w:ind w:firstLine="480" w:firstLineChars="0"/>
              <w:jc w:val="both"/>
              <w:rPr>
                <w:rFonts w:ascii="Times New Roman" w:hAnsi="Times New Roman" w:eastAsia="宋体" w:cs="Times New Roman"/>
                <w:kern w:val="0"/>
                <w:sz w:val="24"/>
              </w:rPr>
            </w:pPr>
            <w:r>
              <w:rPr>
                <w:rFonts w:hint="eastAsia" w:ascii="Times New Roman" w:hAnsi="Times New Roman" w:eastAsia="宋体" w:cs="Times New Roman"/>
                <w:kern w:val="0"/>
                <w:sz w:val="24"/>
                <w:highlight w:val="none"/>
                <w:lang w:val="en-US" w:eastAsia="zh-CN"/>
              </w:rPr>
              <w:t>无</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bottom w:val="single" w:color="auto" w:sz="4" w:space="0"/>
            </w:tcBorders>
          </w:tcPr>
          <w:p>
            <w:pPr>
              <w:spacing w:line="360" w:lineRule="auto"/>
              <w:ind w:firstLine="0" w:firstLineChars="0"/>
              <w:rPr>
                <w:rFonts w:ascii="Times New Roman" w:hAnsi="Times New Roman" w:eastAsia="宋体" w:cs="Times New Roman"/>
                <w:kern w:val="0"/>
                <w:sz w:val="24"/>
              </w:rPr>
            </w:pPr>
            <w:r>
              <w:rPr>
                <w:rFonts w:ascii="Times New Roman" w:hAnsi="Times New Roman" w:eastAsia="宋体" w:cs="Times New Roman"/>
                <w:kern w:val="0"/>
                <w:sz w:val="24"/>
              </w:rPr>
              <w:t>7、重大分歧意见的处理经过和依据</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bottom w:val="single" w:color="auto" w:sz="4" w:space="0"/>
            </w:tcBorders>
          </w:tcPr>
          <w:p>
            <w:pPr>
              <w:spacing w:line="360" w:lineRule="auto"/>
              <w:ind w:firstLine="480"/>
              <w:rPr>
                <w:rFonts w:ascii="Times New Roman" w:hAnsi="Times New Roman" w:eastAsia="宋体" w:cs="Times New Roman"/>
                <w:kern w:val="0"/>
                <w:sz w:val="24"/>
              </w:rPr>
            </w:pPr>
            <w:r>
              <w:rPr>
                <w:rFonts w:ascii="Times New Roman" w:hAnsi="Times New Roman" w:eastAsia="宋体" w:cs="Times New Roman"/>
                <w:kern w:val="0"/>
                <w:sz w:val="24"/>
              </w:rPr>
              <w:t>无</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bottom w:val="single" w:color="auto" w:sz="4" w:space="0"/>
            </w:tcBorders>
          </w:tcPr>
          <w:p>
            <w:pPr>
              <w:spacing w:line="360" w:lineRule="auto"/>
              <w:ind w:firstLine="0" w:firstLineChars="0"/>
              <w:rPr>
                <w:rFonts w:ascii="Times New Roman" w:hAnsi="Times New Roman" w:eastAsia="宋体" w:cs="Times New Roman"/>
                <w:kern w:val="0"/>
                <w:sz w:val="24"/>
              </w:rPr>
            </w:pPr>
            <w:r>
              <w:rPr>
                <w:rFonts w:ascii="Times New Roman" w:hAnsi="Times New Roman" w:eastAsia="宋体" w:cs="Times New Roman"/>
                <w:kern w:val="0"/>
                <w:sz w:val="24"/>
              </w:rPr>
              <w:t>8、</w:t>
            </w:r>
            <w:r>
              <w:rPr>
                <w:rFonts w:hint="eastAsia" w:ascii="Times New Roman" w:hAnsi="Times New Roman" w:eastAsia="宋体" w:cs="Times New Roman"/>
                <w:kern w:val="0"/>
                <w:sz w:val="24"/>
              </w:rPr>
              <w:t>作为推荐性标准或者强制性标准的建议及其理由</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bottom w:val="single" w:color="auto" w:sz="4" w:space="0"/>
            </w:tcBorders>
          </w:tcPr>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ascii="Times New Roman" w:hAnsi="Times New Roman" w:eastAsia="宋体" w:cs="Times New Roman"/>
                <w:kern w:val="0"/>
                <w:sz w:val="24"/>
              </w:rPr>
            </w:pPr>
            <w:r>
              <w:rPr>
                <w:rFonts w:hint="eastAsia" w:ascii="Times New Roman" w:hAnsi="Times New Roman" w:eastAsia="宋体" w:cs="Times New Roman"/>
                <w:kern w:val="0"/>
                <w:sz w:val="24"/>
              </w:rPr>
              <w:t>建议作为市级地方推荐性标准实施。</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bottom w:val="single" w:color="auto" w:sz="4" w:space="0"/>
            </w:tcBorders>
          </w:tcPr>
          <w:p>
            <w:pPr>
              <w:spacing w:line="360" w:lineRule="auto"/>
              <w:ind w:firstLine="0" w:firstLineChars="0"/>
              <w:rPr>
                <w:rFonts w:ascii="Times New Roman" w:hAnsi="Times New Roman" w:eastAsia="宋体" w:cs="Times New Roman"/>
                <w:kern w:val="0"/>
                <w:sz w:val="24"/>
              </w:rPr>
            </w:pPr>
            <w:r>
              <w:rPr>
                <w:rFonts w:hint="eastAsia" w:ascii="Times New Roman" w:hAnsi="Times New Roman" w:eastAsia="宋体" w:cs="Times New Roman"/>
                <w:kern w:val="0"/>
                <w:sz w:val="24"/>
                <w:lang w:val="en-US" w:eastAsia="zh-CN"/>
              </w:rPr>
              <w:t>9</w:t>
            </w:r>
            <w:r>
              <w:rPr>
                <w:rFonts w:ascii="Times New Roman" w:hAnsi="Times New Roman" w:eastAsia="宋体" w:cs="Times New Roman"/>
                <w:kern w:val="0"/>
                <w:sz w:val="24"/>
              </w:rPr>
              <w:t>、贯彻标准的要求和措施建议</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tcBorders>
          </w:tcPr>
          <w:p>
            <w:pPr>
              <w:spacing w:line="360" w:lineRule="auto"/>
              <w:ind w:firstLine="480" w:firstLineChars="0"/>
              <w:jc w:val="both"/>
              <w:rPr>
                <w:rFonts w:ascii="Times New Roman" w:hAnsi="Times New Roman" w:eastAsia="宋体" w:cs="Times New Roman"/>
                <w:kern w:val="0"/>
                <w:sz w:val="24"/>
              </w:rPr>
            </w:pPr>
            <w:r>
              <w:rPr>
                <w:rFonts w:hint="eastAsia" w:ascii="Times New Roman" w:hAnsi="Times New Roman" w:eastAsia="宋体" w:cs="Times New Roman"/>
                <w:kern w:val="0"/>
                <w:sz w:val="24"/>
              </w:rPr>
              <w:t>本</w:t>
            </w:r>
            <w:r>
              <w:rPr>
                <w:rFonts w:hint="eastAsia" w:ascii="Times New Roman" w:hAnsi="Times New Roman" w:eastAsia="宋体" w:cs="Times New Roman"/>
                <w:kern w:val="0"/>
                <w:sz w:val="24"/>
                <w:lang w:val="en-US" w:eastAsia="zh-CN"/>
              </w:rPr>
              <w:t>导则</w:t>
            </w:r>
            <w:r>
              <w:rPr>
                <w:rFonts w:hint="eastAsia" w:ascii="Times New Roman" w:hAnsi="Times New Roman" w:eastAsia="宋体" w:cs="Times New Roman"/>
                <w:kern w:val="0"/>
                <w:sz w:val="24"/>
              </w:rPr>
              <w:t>对规范六安市</w:t>
            </w:r>
            <w:r>
              <w:rPr>
                <w:rFonts w:hint="eastAsia" w:ascii="Times New Roman" w:hAnsi="Times New Roman" w:eastAsia="宋体" w:cs="Times New Roman"/>
                <w:kern w:val="0"/>
                <w:sz w:val="24"/>
                <w:lang w:val="en-US" w:eastAsia="zh-CN"/>
              </w:rPr>
              <w:t>城乡公交线网规划</w:t>
            </w:r>
            <w:r>
              <w:rPr>
                <w:rFonts w:hint="eastAsia" w:ascii="Times New Roman" w:hAnsi="Times New Roman" w:eastAsia="宋体" w:cs="Times New Roman"/>
                <w:kern w:val="0"/>
                <w:sz w:val="24"/>
              </w:rPr>
              <w:t>具有很强的指导作用，建议及时在我市进行宣贯。</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Pr>
          <w:p>
            <w:pPr>
              <w:spacing w:line="360" w:lineRule="auto"/>
              <w:ind w:firstLine="0" w:firstLineChars="0"/>
              <w:rPr>
                <w:rFonts w:ascii="Times New Roman" w:hAnsi="Times New Roman" w:eastAsia="宋体" w:cs="Times New Roman"/>
                <w:kern w:val="0"/>
                <w:sz w:val="24"/>
              </w:rPr>
            </w:pPr>
            <w:r>
              <w:rPr>
                <w:rFonts w:hint="eastAsia" w:ascii="Times New Roman" w:hAnsi="Times New Roman" w:eastAsia="宋体" w:cs="Times New Roman"/>
                <w:kern w:val="0"/>
                <w:sz w:val="24"/>
                <w:lang w:val="en-US" w:eastAsia="zh-CN"/>
              </w:rPr>
              <w:t>10</w:t>
            </w:r>
            <w:r>
              <w:rPr>
                <w:rFonts w:ascii="Times New Roman" w:hAnsi="Times New Roman" w:eastAsia="宋体" w:cs="Times New Roman"/>
                <w:kern w:val="0"/>
                <w:sz w:val="24"/>
              </w:rPr>
              <w:t>、废止现行相关标准的建议</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Pr>
          <w:p>
            <w:pPr>
              <w:spacing w:line="360" w:lineRule="auto"/>
              <w:ind w:firstLine="480"/>
              <w:rPr>
                <w:rFonts w:ascii="Times New Roman" w:hAnsi="Times New Roman" w:eastAsia="宋体" w:cs="Times New Roman"/>
                <w:kern w:val="0"/>
                <w:sz w:val="24"/>
              </w:rPr>
            </w:pPr>
            <w:r>
              <w:rPr>
                <w:rFonts w:ascii="Times New Roman" w:hAnsi="Times New Roman" w:eastAsia="宋体" w:cs="Times New Roman"/>
                <w:kern w:val="0"/>
                <w:sz w:val="24"/>
              </w:rPr>
              <w:t>无</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bottom w:val="single" w:color="auto" w:sz="4" w:space="0"/>
            </w:tcBorders>
          </w:tcPr>
          <w:p>
            <w:pPr>
              <w:spacing w:line="360" w:lineRule="auto"/>
              <w:ind w:firstLine="0" w:firstLineChars="0"/>
              <w:rPr>
                <w:rFonts w:ascii="Times New Roman" w:hAnsi="Times New Roman" w:eastAsia="宋体" w:cs="Times New Roman"/>
                <w:kern w:val="0"/>
                <w:sz w:val="24"/>
              </w:rPr>
            </w:pPr>
            <w:r>
              <w:rPr>
                <w:rFonts w:ascii="Times New Roman" w:hAnsi="Times New Roman" w:eastAsia="宋体" w:cs="Times New Roman"/>
                <w:kern w:val="0"/>
                <w:sz w:val="24"/>
              </w:rPr>
              <w:t>1</w:t>
            </w:r>
            <w:r>
              <w:rPr>
                <w:rFonts w:hint="eastAsia" w:ascii="Times New Roman" w:hAnsi="Times New Roman" w:eastAsia="宋体" w:cs="Times New Roman"/>
                <w:kern w:val="0"/>
                <w:sz w:val="24"/>
                <w:lang w:val="en-US" w:eastAsia="zh-CN"/>
              </w:rPr>
              <w:t>1</w:t>
            </w:r>
            <w:r>
              <w:rPr>
                <w:rFonts w:ascii="Times New Roman" w:hAnsi="Times New Roman" w:eastAsia="宋体" w:cs="Times New Roman"/>
                <w:kern w:val="0"/>
                <w:sz w:val="24"/>
              </w:rPr>
              <w:t>、其它应予说明的事项</w:t>
            </w:r>
          </w:p>
        </w:tc>
      </w:tr>
      <w:tr>
        <w:tblPrEx>
          <w:tblBorders>
            <w:top w:val="none" w:color="auto" w:sz="0"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8516" w:type="dxa"/>
            <w:gridSpan w:val="6"/>
            <w:tcBorders>
              <w:top w:val="single" w:color="auto" w:sz="4" w:space="0"/>
              <w:bottom w:val="single" w:color="auto" w:sz="4" w:space="0"/>
            </w:tcBorders>
          </w:tcPr>
          <w:p>
            <w:pPr>
              <w:spacing w:line="360" w:lineRule="auto"/>
              <w:ind w:firstLine="480"/>
              <w:rPr>
                <w:rFonts w:ascii="Times New Roman" w:hAnsi="Times New Roman" w:eastAsia="宋体" w:cs="Times New Roman"/>
                <w:kern w:val="0"/>
                <w:sz w:val="24"/>
              </w:rPr>
            </w:pPr>
            <w:r>
              <w:rPr>
                <w:rFonts w:ascii="Times New Roman" w:hAnsi="Times New Roman" w:eastAsia="宋体" w:cs="Times New Roman"/>
                <w:kern w:val="0"/>
                <w:sz w:val="24"/>
              </w:rPr>
              <w:t>无</w:t>
            </w:r>
          </w:p>
        </w:tc>
      </w:tr>
    </w:tbl>
    <w:p>
      <w:pPr>
        <w:spacing w:line="360" w:lineRule="auto"/>
        <w:ind w:firstLine="480"/>
        <w:rPr>
          <w:rFonts w:ascii="宋体" w:hAnsi="宋体" w:eastAsia="宋体"/>
          <w:sz w:val="24"/>
        </w:rPr>
      </w:pPr>
      <w:r>
        <w:rPr>
          <w:rFonts w:hint="eastAsia" w:ascii="宋体" w:hAnsi="宋体" w:eastAsia="宋体"/>
          <w:sz w:val="24"/>
        </w:rPr>
        <w:t>注：没有的请填写“无”。</w:t>
      </w:r>
    </w:p>
    <w:sectPr>
      <w:headerReference r:id="rId7" w:type="first"/>
      <w:footerReference r:id="rId10" w:type="first"/>
      <w:headerReference r:id="rId5" w:type="default"/>
      <w:footerReference r:id="rId8" w:type="default"/>
      <w:headerReference r:id="rId6" w:type="even"/>
      <w:footerReference r:id="rId9" w:type="even"/>
      <w:pgSz w:w="11900" w:h="16840"/>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420"/>
      </w:pPr>
      <w:r>
        <w:separator/>
      </w:r>
    </w:p>
  </w:endnote>
  <w:endnote w:type="continuationSeparator" w:id="1">
    <w:p>
      <w:pPr>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方正书宋_GBK">
    <w:panose1 w:val="02000000000000000000"/>
    <w:charset w:val="86"/>
    <w:family w:val="auto"/>
    <w:pitch w:val="default"/>
    <w:sig w:usb0="00000001" w:usb1="08000000" w:usb2="00000000" w:usb3="00000000" w:csb0="00040000" w:csb1="00000000"/>
  </w:font>
  <w:font w:name="等线">
    <w:altName w:val="URW Bookman"/>
    <w:panose1 w:val="00000000000000000000"/>
    <w:charset w:val="00"/>
    <w:family w:val="auto"/>
    <w:pitch w:val="default"/>
    <w:sig w:usb0="00000000" w:usb1="00000000" w:usb2="00000000" w:usb3="00000000" w:csb0="00000000" w:csb1="00000000"/>
  </w:font>
  <w:font w:name="URW Bookman">
    <w:panose1 w:val="00000400000000000000"/>
    <w:charset w:val="00"/>
    <w:family w:val="auto"/>
    <w:pitch w:val="default"/>
    <w:sig w:usb0="00000287" w:usb1="00000800" w:usb2="00000000" w:usb3="00000000" w:csb0="6000009F" w:csb1="00000000"/>
  </w:font>
  <w:font w:name="DejaVu Sans">
    <w:panose1 w:val="020B0603030804020204"/>
    <w:charset w:val="00"/>
    <w:family w:val="auto"/>
    <w:pitch w:val="default"/>
    <w:sig w:usb0="E7006EFF" w:usb1="D200FDFF" w:usb2="0A246029" w:usb3="0400200C" w:csb0="600001FF" w:csb1="DFFF0000"/>
  </w:font>
  <w:font w:name="方正黑体_GBK">
    <w:panose1 w:val="03000509000000000000"/>
    <w:charset w:val="86"/>
    <w:family w:val="auto"/>
    <w:pitch w:val="default"/>
    <w:sig w:usb0="00000001" w:usb1="080E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420"/>
      </w:pPr>
      <w:r>
        <w:separator/>
      </w:r>
    </w:p>
  </w:footnote>
  <w:footnote w:type="continuationSeparator" w:id="1">
    <w:p>
      <w:pPr>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C91163"/>
    <w:multiLevelType w:val="multilevel"/>
    <w:tmpl w:val="1FC91163"/>
    <w:lvl w:ilvl="0" w:tentative="0">
      <w:start w:val="1"/>
      <w:numFmt w:val="decimal"/>
      <w:pStyle w:val="14"/>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13"/>
      <w:suff w:val="nothing"/>
      <w:lvlText w:val="%1.%2　"/>
      <w:lvlJc w:val="left"/>
      <w:pPr>
        <w:ind w:left="1418" w:firstLine="0"/>
      </w:pPr>
      <w:rPr>
        <w:rFonts w:hint="eastAsia" w:ascii="黑体" w:hAnsi="Times New Roman" w:eastAsia="黑体" w:cs="Times New Roman"/>
        <w:b w:val="0"/>
        <w:bCs w:val="0"/>
        <w:i w:val="0"/>
        <w:iCs w:val="0"/>
        <w:caps w:val="0"/>
        <w:strike w:val="0"/>
        <w:dstrike w:val="0"/>
        <w:outline w:val="0"/>
        <w:shadow w:val="0"/>
        <w:emboss w:val="0"/>
        <w:imprint w:val="0"/>
        <w:vanish w:val="0"/>
        <w:spacing w:val="0"/>
        <w:kern w:val="0"/>
        <w:position w:val="0"/>
        <w:sz w:val="21"/>
        <w:szCs w:val="21"/>
        <w:u w:val="none"/>
        <w:vertAlign w:val="baseline"/>
      </w:rPr>
    </w:lvl>
    <w:lvl w:ilvl="2" w:tentative="0">
      <w:start w:val="1"/>
      <w:numFmt w:val="decimal"/>
      <w:pStyle w:val="15"/>
      <w:suff w:val="nothing"/>
      <w:lvlText w:val="%1.%2.%3　"/>
      <w:lvlJc w:val="left"/>
      <w:pPr>
        <w:ind w:left="0" w:firstLine="0"/>
      </w:pPr>
      <w:rPr>
        <w:rFonts w:hint="eastAsia" w:ascii="黑体" w:hAnsi="Times New Roman" w:eastAsia="黑体"/>
        <w:b w:val="0"/>
        <w:i w:val="0"/>
        <w:sz w:val="21"/>
      </w:rPr>
    </w:lvl>
    <w:lvl w:ilvl="3" w:tentative="0">
      <w:start w:val="1"/>
      <w:numFmt w:val="decimal"/>
      <w:pStyle w:val="16"/>
      <w:suff w:val="nothing"/>
      <w:lvlText w:val="%1.%2.%3.%4　"/>
      <w:lvlJc w:val="left"/>
      <w:pPr>
        <w:ind w:left="0" w:firstLine="0"/>
      </w:pPr>
      <w:rPr>
        <w:rFonts w:hint="default" w:ascii="黑体" w:hAnsi="Times New Roman" w:eastAsia="黑体"/>
        <w:b w:val="0"/>
        <w:i w:val="0"/>
        <w:color w:val="auto"/>
        <w:sz w:val="21"/>
      </w:rPr>
    </w:lvl>
    <w:lvl w:ilvl="4" w:tentative="0">
      <w:start w:val="1"/>
      <w:numFmt w:val="decimal"/>
      <w:pStyle w:val="17"/>
      <w:suff w:val="nothing"/>
      <w:lvlText w:val="%1.%2.%3.%4.%5　"/>
      <w:lvlJc w:val="left"/>
      <w:pPr>
        <w:ind w:left="0" w:firstLine="0"/>
      </w:pPr>
      <w:rPr>
        <w:rFonts w:hint="eastAsia" w:ascii="黑体" w:hAnsi="Times New Roman" w:eastAsia="黑体"/>
        <w:b w:val="0"/>
        <w:i w:val="0"/>
        <w:sz w:val="21"/>
      </w:rPr>
    </w:lvl>
    <w:lvl w:ilvl="5" w:tentative="0">
      <w:start w:val="1"/>
      <w:numFmt w:val="decimal"/>
      <w:pStyle w:val="18"/>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
    <w:nsid w:val="59736178"/>
    <w:multiLevelType w:val="multilevel"/>
    <w:tmpl w:val="5973617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Y5NmIxNzcxNzhhYWU5MDViODFiNGMwNDYyZGIxOWMifQ=="/>
  </w:docVars>
  <w:rsids>
    <w:rsidRoot w:val="005279EC"/>
    <w:rsid w:val="000034EA"/>
    <w:rsid w:val="00005989"/>
    <w:rsid w:val="0003486B"/>
    <w:rsid w:val="0003545B"/>
    <w:rsid w:val="00036572"/>
    <w:rsid w:val="000408D0"/>
    <w:rsid w:val="00047DA8"/>
    <w:rsid w:val="00072716"/>
    <w:rsid w:val="000770A5"/>
    <w:rsid w:val="000828C7"/>
    <w:rsid w:val="00084749"/>
    <w:rsid w:val="00085496"/>
    <w:rsid w:val="000D2224"/>
    <w:rsid w:val="000E6CEC"/>
    <w:rsid w:val="001040B2"/>
    <w:rsid w:val="001047C4"/>
    <w:rsid w:val="00107180"/>
    <w:rsid w:val="00107C78"/>
    <w:rsid w:val="00121E14"/>
    <w:rsid w:val="001279BE"/>
    <w:rsid w:val="00145C9D"/>
    <w:rsid w:val="00150BCC"/>
    <w:rsid w:val="0015338C"/>
    <w:rsid w:val="00156471"/>
    <w:rsid w:val="00172DAD"/>
    <w:rsid w:val="001856A9"/>
    <w:rsid w:val="001A1D24"/>
    <w:rsid w:val="001B0FF0"/>
    <w:rsid w:val="001B3E5C"/>
    <w:rsid w:val="001B4133"/>
    <w:rsid w:val="001C12FA"/>
    <w:rsid w:val="001C174C"/>
    <w:rsid w:val="001D0F21"/>
    <w:rsid w:val="001D6575"/>
    <w:rsid w:val="001E1DFD"/>
    <w:rsid w:val="001E726A"/>
    <w:rsid w:val="00214925"/>
    <w:rsid w:val="00223224"/>
    <w:rsid w:val="002248E6"/>
    <w:rsid w:val="0022504D"/>
    <w:rsid w:val="00237392"/>
    <w:rsid w:val="00256283"/>
    <w:rsid w:val="002716E2"/>
    <w:rsid w:val="00274316"/>
    <w:rsid w:val="002B3243"/>
    <w:rsid w:val="002C6B6A"/>
    <w:rsid w:val="002D05D4"/>
    <w:rsid w:val="002D6022"/>
    <w:rsid w:val="002E730D"/>
    <w:rsid w:val="003137CF"/>
    <w:rsid w:val="00342912"/>
    <w:rsid w:val="00355F2A"/>
    <w:rsid w:val="003650AE"/>
    <w:rsid w:val="003662D7"/>
    <w:rsid w:val="00367EB6"/>
    <w:rsid w:val="003737ED"/>
    <w:rsid w:val="00381342"/>
    <w:rsid w:val="003938C7"/>
    <w:rsid w:val="0039463D"/>
    <w:rsid w:val="003962D8"/>
    <w:rsid w:val="003A0AED"/>
    <w:rsid w:val="003A2449"/>
    <w:rsid w:val="003B0F0F"/>
    <w:rsid w:val="003C0EBA"/>
    <w:rsid w:val="003C138D"/>
    <w:rsid w:val="003E2287"/>
    <w:rsid w:val="003F3E1A"/>
    <w:rsid w:val="0042100A"/>
    <w:rsid w:val="00425778"/>
    <w:rsid w:val="004268DD"/>
    <w:rsid w:val="00445F94"/>
    <w:rsid w:val="00447283"/>
    <w:rsid w:val="00450235"/>
    <w:rsid w:val="00451B24"/>
    <w:rsid w:val="004669EA"/>
    <w:rsid w:val="0047051D"/>
    <w:rsid w:val="00470EBB"/>
    <w:rsid w:val="00472674"/>
    <w:rsid w:val="00474034"/>
    <w:rsid w:val="0047726C"/>
    <w:rsid w:val="00480959"/>
    <w:rsid w:val="00481908"/>
    <w:rsid w:val="00487024"/>
    <w:rsid w:val="00494EF5"/>
    <w:rsid w:val="004A58BC"/>
    <w:rsid w:val="004B211D"/>
    <w:rsid w:val="004B2671"/>
    <w:rsid w:val="004B3B1A"/>
    <w:rsid w:val="004D3F5E"/>
    <w:rsid w:val="004D676C"/>
    <w:rsid w:val="004E46CF"/>
    <w:rsid w:val="004E5574"/>
    <w:rsid w:val="004F1A04"/>
    <w:rsid w:val="004F7CF4"/>
    <w:rsid w:val="00521A36"/>
    <w:rsid w:val="00522E36"/>
    <w:rsid w:val="00526A33"/>
    <w:rsid w:val="005279EC"/>
    <w:rsid w:val="00527E3B"/>
    <w:rsid w:val="00533836"/>
    <w:rsid w:val="00537ECB"/>
    <w:rsid w:val="00547154"/>
    <w:rsid w:val="00547316"/>
    <w:rsid w:val="005536A6"/>
    <w:rsid w:val="00561B8F"/>
    <w:rsid w:val="00570F52"/>
    <w:rsid w:val="00577476"/>
    <w:rsid w:val="00584382"/>
    <w:rsid w:val="00587118"/>
    <w:rsid w:val="0059443D"/>
    <w:rsid w:val="0059584B"/>
    <w:rsid w:val="005A0A77"/>
    <w:rsid w:val="005A31D0"/>
    <w:rsid w:val="005C1987"/>
    <w:rsid w:val="005C29A1"/>
    <w:rsid w:val="005D581C"/>
    <w:rsid w:val="005D7756"/>
    <w:rsid w:val="005E1D29"/>
    <w:rsid w:val="005F0E77"/>
    <w:rsid w:val="005F1731"/>
    <w:rsid w:val="006021D2"/>
    <w:rsid w:val="006348E0"/>
    <w:rsid w:val="006362FE"/>
    <w:rsid w:val="0064283E"/>
    <w:rsid w:val="00663382"/>
    <w:rsid w:val="006955D5"/>
    <w:rsid w:val="00697F56"/>
    <w:rsid w:val="006A2608"/>
    <w:rsid w:val="006B104E"/>
    <w:rsid w:val="006B3EB3"/>
    <w:rsid w:val="006D03A6"/>
    <w:rsid w:val="006E1543"/>
    <w:rsid w:val="0071281C"/>
    <w:rsid w:val="00722D27"/>
    <w:rsid w:val="00722E8B"/>
    <w:rsid w:val="00726585"/>
    <w:rsid w:val="00735290"/>
    <w:rsid w:val="007541B8"/>
    <w:rsid w:val="00754863"/>
    <w:rsid w:val="00771467"/>
    <w:rsid w:val="00781116"/>
    <w:rsid w:val="007B216E"/>
    <w:rsid w:val="007B2AED"/>
    <w:rsid w:val="007B3F31"/>
    <w:rsid w:val="007B4EBC"/>
    <w:rsid w:val="007C3AAD"/>
    <w:rsid w:val="007D63D4"/>
    <w:rsid w:val="007E3A87"/>
    <w:rsid w:val="007E4E54"/>
    <w:rsid w:val="008065A4"/>
    <w:rsid w:val="00814A0E"/>
    <w:rsid w:val="00827564"/>
    <w:rsid w:val="00833DE8"/>
    <w:rsid w:val="00833FA4"/>
    <w:rsid w:val="0084171E"/>
    <w:rsid w:val="00866E02"/>
    <w:rsid w:val="008919A9"/>
    <w:rsid w:val="00893CDB"/>
    <w:rsid w:val="008A083C"/>
    <w:rsid w:val="008A1426"/>
    <w:rsid w:val="008A29F9"/>
    <w:rsid w:val="008B19C1"/>
    <w:rsid w:val="008C2C88"/>
    <w:rsid w:val="008D027C"/>
    <w:rsid w:val="008D4211"/>
    <w:rsid w:val="008F1AFC"/>
    <w:rsid w:val="009002A4"/>
    <w:rsid w:val="00915DA0"/>
    <w:rsid w:val="00930F0F"/>
    <w:rsid w:val="0093273C"/>
    <w:rsid w:val="00943AF6"/>
    <w:rsid w:val="00943EE5"/>
    <w:rsid w:val="009612FF"/>
    <w:rsid w:val="009654B1"/>
    <w:rsid w:val="00971C20"/>
    <w:rsid w:val="00972188"/>
    <w:rsid w:val="00977D62"/>
    <w:rsid w:val="00982308"/>
    <w:rsid w:val="00982F92"/>
    <w:rsid w:val="00992F20"/>
    <w:rsid w:val="00993038"/>
    <w:rsid w:val="009A6FC4"/>
    <w:rsid w:val="009B00FC"/>
    <w:rsid w:val="009C3CDC"/>
    <w:rsid w:val="009C467F"/>
    <w:rsid w:val="009F18E9"/>
    <w:rsid w:val="00A25220"/>
    <w:rsid w:val="00A333E1"/>
    <w:rsid w:val="00A33EA0"/>
    <w:rsid w:val="00A37238"/>
    <w:rsid w:val="00A37B96"/>
    <w:rsid w:val="00A4239F"/>
    <w:rsid w:val="00A65934"/>
    <w:rsid w:val="00A6766C"/>
    <w:rsid w:val="00A70052"/>
    <w:rsid w:val="00A9093D"/>
    <w:rsid w:val="00A92D74"/>
    <w:rsid w:val="00AB08B9"/>
    <w:rsid w:val="00AE4769"/>
    <w:rsid w:val="00B10868"/>
    <w:rsid w:val="00B12ABE"/>
    <w:rsid w:val="00B15ECD"/>
    <w:rsid w:val="00B42EA9"/>
    <w:rsid w:val="00B442AB"/>
    <w:rsid w:val="00B54E8E"/>
    <w:rsid w:val="00B61476"/>
    <w:rsid w:val="00B650AA"/>
    <w:rsid w:val="00BC5C75"/>
    <w:rsid w:val="00BE086C"/>
    <w:rsid w:val="00BF1151"/>
    <w:rsid w:val="00BF2AD9"/>
    <w:rsid w:val="00C03C06"/>
    <w:rsid w:val="00C05D2D"/>
    <w:rsid w:val="00C10147"/>
    <w:rsid w:val="00C16346"/>
    <w:rsid w:val="00C80D67"/>
    <w:rsid w:val="00C8493B"/>
    <w:rsid w:val="00CC3A27"/>
    <w:rsid w:val="00CC534C"/>
    <w:rsid w:val="00CE20F7"/>
    <w:rsid w:val="00CE2D68"/>
    <w:rsid w:val="00D02110"/>
    <w:rsid w:val="00D2177D"/>
    <w:rsid w:val="00D21A76"/>
    <w:rsid w:val="00D21E8F"/>
    <w:rsid w:val="00D22DE6"/>
    <w:rsid w:val="00D247CC"/>
    <w:rsid w:val="00D34305"/>
    <w:rsid w:val="00D44FEE"/>
    <w:rsid w:val="00D613CA"/>
    <w:rsid w:val="00D62596"/>
    <w:rsid w:val="00D659E7"/>
    <w:rsid w:val="00D74FEF"/>
    <w:rsid w:val="00D764D9"/>
    <w:rsid w:val="00D97134"/>
    <w:rsid w:val="00DA442E"/>
    <w:rsid w:val="00DB7A07"/>
    <w:rsid w:val="00E00F80"/>
    <w:rsid w:val="00E0144F"/>
    <w:rsid w:val="00E1082F"/>
    <w:rsid w:val="00E44572"/>
    <w:rsid w:val="00E52A51"/>
    <w:rsid w:val="00E65F85"/>
    <w:rsid w:val="00E67EF1"/>
    <w:rsid w:val="00E90412"/>
    <w:rsid w:val="00E912B2"/>
    <w:rsid w:val="00E91390"/>
    <w:rsid w:val="00E94A31"/>
    <w:rsid w:val="00EA6760"/>
    <w:rsid w:val="00EC2EBA"/>
    <w:rsid w:val="00EC7A73"/>
    <w:rsid w:val="00ED3143"/>
    <w:rsid w:val="00ED50B4"/>
    <w:rsid w:val="00ED5E5A"/>
    <w:rsid w:val="00EE0FD9"/>
    <w:rsid w:val="00EF0847"/>
    <w:rsid w:val="00EF6DDD"/>
    <w:rsid w:val="00F066C3"/>
    <w:rsid w:val="00F105E6"/>
    <w:rsid w:val="00F22F0C"/>
    <w:rsid w:val="00F2394C"/>
    <w:rsid w:val="00F3722D"/>
    <w:rsid w:val="00F44733"/>
    <w:rsid w:val="00F61B06"/>
    <w:rsid w:val="00F6446F"/>
    <w:rsid w:val="00F74E71"/>
    <w:rsid w:val="00F8132A"/>
    <w:rsid w:val="00F819A6"/>
    <w:rsid w:val="00F8580B"/>
    <w:rsid w:val="00F90692"/>
    <w:rsid w:val="00F92BFA"/>
    <w:rsid w:val="00FC2304"/>
    <w:rsid w:val="00FC5AB0"/>
    <w:rsid w:val="00FD0DEF"/>
    <w:rsid w:val="00FF74A7"/>
    <w:rsid w:val="0198159D"/>
    <w:rsid w:val="02BA633E"/>
    <w:rsid w:val="030F3F72"/>
    <w:rsid w:val="031209B5"/>
    <w:rsid w:val="03B50F2A"/>
    <w:rsid w:val="04AF06BB"/>
    <w:rsid w:val="04E4349B"/>
    <w:rsid w:val="05467D5B"/>
    <w:rsid w:val="056D245D"/>
    <w:rsid w:val="06BE0F9A"/>
    <w:rsid w:val="071A6AFB"/>
    <w:rsid w:val="090348A9"/>
    <w:rsid w:val="0AC9244B"/>
    <w:rsid w:val="0AE522E5"/>
    <w:rsid w:val="0B3236EC"/>
    <w:rsid w:val="0B7346E1"/>
    <w:rsid w:val="0C7451AE"/>
    <w:rsid w:val="0D883BC3"/>
    <w:rsid w:val="0DC67C8B"/>
    <w:rsid w:val="0F3C13FA"/>
    <w:rsid w:val="0F493254"/>
    <w:rsid w:val="103A6ED8"/>
    <w:rsid w:val="10B4061B"/>
    <w:rsid w:val="11B449C3"/>
    <w:rsid w:val="12F157AA"/>
    <w:rsid w:val="13E73EF9"/>
    <w:rsid w:val="160305B0"/>
    <w:rsid w:val="16C90DC6"/>
    <w:rsid w:val="189377A4"/>
    <w:rsid w:val="18980476"/>
    <w:rsid w:val="1A732114"/>
    <w:rsid w:val="1A7B3450"/>
    <w:rsid w:val="1A9517BD"/>
    <w:rsid w:val="1B241135"/>
    <w:rsid w:val="1B463CB8"/>
    <w:rsid w:val="1BD57244"/>
    <w:rsid w:val="1CE51BF1"/>
    <w:rsid w:val="1CE75528"/>
    <w:rsid w:val="1E0D5567"/>
    <w:rsid w:val="21E43791"/>
    <w:rsid w:val="232D6E37"/>
    <w:rsid w:val="23C864C0"/>
    <w:rsid w:val="25336502"/>
    <w:rsid w:val="26DC1F93"/>
    <w:rsid w:val="28940C5A"/>
    <w:rsid w:val="29131C9A"/>
    <w:rsid w:val="2AFA0BB0"/>
    <w:rsid w:val="2B6D0EA0"/>
    <w:rsid w:val="2C054070"/>
    <w:rsid w:val="2D0F07B8"/>
    <w:rsid w:val="2D6D749D"/>
    <w:rsid w:val="2DEA34DF"/>
    <w:rsid w:val="2E0B7C6B"/>
    <w:rsid w:val="2E9A3508"/>
    <w:rsid w:val="2EB01C1E"/>
    <w:rsid w:val="2ED90E48"/>
    <w:rsid w:val="2FBE5811"/>
    <w:rsid w:val="3058256D"/>
    <w:rsid w:val="30A853C0"/>
    <w:rsid w:val="30E06C43"/>
    <w:rsid w:val="31D5723A"/>
    <w:rsid w:val="3687363A"/>
    <w:rsid w:val="372D0E3D"/>
    <w:rsid w:val="37874FB3"/>
    <w:rsid w:val="38376F0C"/>
    <w:rsid w:val="38E463D4"/>
    <w:rsid w:val="398E1165"/>
    <w:rsid w:val="39D339DB"/>
    <w:rsid w:val="3A281716"/>
    <w:rsid w:val="3A4F2815"/>
    <w:rsid w:val="3AC31E36"/>
    <w:rsid w:val="3AE016F3"/>
    <w:rsid w:val="3B2B6F6E"/>
    <w:rsid w:val="3BB21A3B"/>
    <w:rsid w:val="3F087D45"/>
    <w:rsid w:val="40CB3C2D"/>
    <w:rsid w:val="42BB70A3"/>
    <w:rsid w:val="43E048FB"/>
    <w:rsid w:val="45965562"/>
    <w:rsid w:val="48B16866"/>
    <w:rsid w:val="4A5C08B9"/>
    <w:rsid w:val="4A90491F"/>
    <w:rsid w:val="4ADF590D"/>
    <w:rsid w:val="4C571903"/>
    <w:rsid w:val="4D9D5085"/>
    <w:rsid w:val="4E810AAD"/>
    <w:rsid w:val="4F15220C"/>
    <w:rsid w:val="4FAA29F2"/>
    <w:rsid w:val="4FF0236A"/>
    <w:rsid w:val="50B9275C"/>
    <w:rsid w:val="52814DA9"/>
    <w:rsid w:val="533D4022"/>
    <w:rsid w:val="53D920CB"/>
    <w:rsid w:val="540E1011"/>
    <w:rsid w:val="54D67D81"/>
    <w:rsid w:val="57CB289F"/>
    <w:rsid w:val="582F21E1"/>
    <w:rsid w:val="5BEF12E5"/>
    <w:rsid w:val="5C9B0FAB"/>
    <w:rsid w:val="5C9D7A2B"/>
    <w:rsid w:val="5E345B18"/>
    <w:rsid w:val="5EBD5FB7"/>
    <w:rsid w:val="5FAB681B"/>
    <w:rsid w:val="5FCA35B8"/>
    <w:rsid w:val="61442A2A"/>
    <w:rsid w:val="61532759"/>
    <w:rsid w:val="61AB4343"/>
    <w:rsid w:val="61D820E5"/>
    <w:rsid w:val="632022AD"/>
    <w:rsid w:val="64E35BA2"/>
    <w:rsid w:val="65DF0A5F"/>
    <w:rsid w:val="67785DF6"/>
    <w:rsid w:val="68D8649A"/>
    <w:rsid w:val="69197920"/>
    <w:rsid w:val="69366AE5"/>
    <w:rsid w:val="6AA706C1"/>
    <w:rsid w:val="6AB30B26"/>
    <w:rsid w:val="6C6C7746"/>
    <w:rsid w:val="6CC04AFF"/>
    <w:rsid w:val="6D866309"/>
    <w:rsid w:val="6DC5678C"/>
    <w:rsid w:val="735C724B"/>
    <w:rsid w:val="740B5B23"/>
    <w:rsid w:val="755F107B"/>
    <w:rsid w:val="75CB690A"/>
    <w:rsid w:val="76684159"/>
    <w:rsid w:val="7741190B"/>
    <w:rsid w:val="78003EA5"/>
    <w:rsid w:val="788A27B3"/>
    <w:rsid w:val="78C3200A"/>
    <w:rsid w:val="795653B6"/>
    <w:rsid w:val="79B967DF"/>
    <w:rsid w:val="7AAF67FA"/>
    <w:rsid w:val="7CC77E2B"/>
    <w:rsid w:val="7D6D5A8E"/>
    <w:rsid w:val="7D833D77"/>
    <w:rsid w:val="7F596D35"/>
    <w:rsid w:val="FABFD1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ind w:firstLine="200" w:firstLineChars="200"/>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unhideWhenUsed/>
    <w:qFormat/>
    <w:uiPriority w:val="99"/>
    <w:pPr>
      <w:tabs>
        <w:tab w:val="center" w:pos="4153"/>
        <w:tab w:val="right" w:pos="8306"/>
      </w:tabs>
      <w:snapToGrid w:val="0"/>
    </w:pPr>
    <w:rPr>
      <w:sz w:val="18"/>
      <w:szCs w:val="18"/>
    </w:rPr>
  </w:style>
  <w:style w:type="paragraph" w:styleId="3">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spacing w:before="100" w:beforeAutospacing="1" w:after="100" w:afterAutospacing="1"/>
      <w:ind w:firstLine="0" w:firstLineChars="0"/>
    </w:pPr>
    <w:rPr>
      <w:rFonts w:ascii="宋体" w:hAnsi="宋体" w:eastAsia="宋体" w:cs="宋体"/>
      <w:kern w:val="0"/>
      <w:sz w:val="24"/>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列表段落1"/>
    <w:basedOn w:val="1"/>
    <w:qFormat/>
    <w:uiPriority w:val="34"/>
    <w:pPr>
      <w:ind w:firstLine="420"/>
    </w:pPr>
  </w:style>
  <w:style w:type="character" w:customStyle="1" w:styleId="9">
    <w:name w:val="页眉 字符"/>
    <w:basedOn w:val="7"/>
    <w:link w:val="3"/>
    <w:qFormat/>
    <w:uiPriority w:val="99"/>
    <w:rPr>
      <w:sz w:val="18"/>
      <w:szCs w:val="18"/>
    </w:rPr>
  </w:style>
  <w:style w:type="character" w:customStyle="1" w:styleId="10">
    <w:name w:val="页脚 字符"/>
    <w:basedOn w:val="7"/>
    <w:link w:val="2"/>
    <w:qFormat/>
    <w:uiPriority w:val="99"/>
    <w:rPr>
      <w:sz w:val="18"/>
      <w:szCs w:val="18"/>
    </w:rPr>
  </w:style>
  <w:style w:type="paragraph" w:customStyle="1" w:styleId="11">
    <w:name w:val="段"/>
    <w:link w:val="12"/>
    <w:unhideWhenUsed/>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character" w:customStyle="1" w:styleId="12">
    <w:name w:val="段 Char"/>
    <w:basedOn w:val="7"/>
    <w:link w:val="11"/>
    <w:qFormat/>
    <w:uiPriority w:val="0"/>
    <w:rPr>
      <w:rFonts w:ascii="宋体"/>
      <w:sz w:val="21"/>
    </w:rPr>
  </w:style>
  <w:style w:type="paragraph" w:customStyle="1" w:styleId="13">
    <w:name w:val="一级条标题"/>
    <w:next w:val="11"/>
    <w:unhideWhenUsed/>
    <w:qFormat/>
    <w:uiPriority w:val="0"/>
    <w:pPr>
      <w:numPr>
        <w:ilvl w:val="1"/>
        <w:numId w:val="1"/>
      </w:numPr>
      <w:spacing w:beforeLines="50" w:afterLines="50"/>
      <w:ind w:left="0"/>
      <w:outlineLvl w:val="2"/>
    </w:pPr>
    <w:rPr>
      <w:rFonts w:ascii="黑体" w:hAnsi="Times New Roman" w:eastAsia="黑体" w:cs="Times New Roman"/>
      <w:sz w:val="21"/>
      <w:szCs w:val="21"/>
      <w:lang w:val="en-US" w:eastAsia="zh-CN" w:bidi="ar-SA"/>
    </w:rPr>
  </w:style>
  <w:style w:type="paragraph" w:customStyle="1" w:styleId="14">
    <w:name w:val="章标题"/>
    <w:next w:val="11"/>
    <w:unhideWhenUsed/>
    <w:qFormat/>
    <w:uiPriority w:val="0"/>
    <w:pPr>
      <w:numPr>
        <w:ilvl w:val="0"/>
        <w:numId w:val="1"/>
      </w:numPr>
      <w:spacing w:beforeLines="100" w:afterLines="100"/>
      <w:jc w:val="both"/>
      <w:outlineLvl w:val="1"/>
    </w:pPr>
    <w:rPr>
      <w:rFonts w:ascii="黑体" w:hAnsi="Times New Roman" w:eastAsia="黑体" w:cs="Times New Roman"/>
      <w:sz w:val="21"/>
      <w:lang w:val="en-US" w:eastAsia="zh-CN" w:bidi="ar-SA"/>
    </w:rPr>
  </w:style>
  <w:style w:type="paragraph" w:customStyle="1" w:styleId="15">
    <w:name w:val="二级条标题"/>
    <w:basedOn w:val="13"/>
    <w:next w:val="1"/>
    <w:unhideWhenUsed/>
    <w:qFormat/>
    <w:uiPriority w:val="0"/>
    <w:pPr>
      <w:numPr>
        <w:ilvl w:val="2"/>
      </w:numPr>
      <w:spacing w:before="50" w:beforeLines="0" w:after="50" w:afterLines="0"/>
      <w:outlineLvl w:val="3"/>
    </w:pPr>
  </w:style>
  <w:style w:type="paragraph" w:customStyle="1" w:styleId="16">
    <w:name w:val="三级条标题"/>
    <w:basedOn w:val="15"/>
    <w:next w:val="11"/>
    <w:unhideWhenUsed/>
    <w:qFormat/>
    <w:uiPriority w:val="0"/>
    <w:pPr>
      <w:numPr>
        <w:ilvl w:val="3"/>
      </w:numPr>
      <w:outlineLvl w:val="4"/>
    </w:pPr>
  </w:style>
  <w:style w:type="paragraph" w:customStyle="1" w:styleId="17">
    <w:name w:val="四级条标题"/>
    <w:basedOn w:val="16"/>
    <w:next w:val="11"/>
    <w:unhideWhenUsed/>
    <w:qFormat/>
    <w:uiPriority w:val="0"/>
    <w:pPr>
      <w:numPr>
        <w:ilvl w:val="4"/>
      </w:numPr>
      <w:outlineLvl w:val="5"/>
    </w:pPr>
  </w:style>
  <w:style w:type="paragraph" w:customStyle="1" w:styleId="18">
    <w:name w:val="五级条标题"/>
    <w:basedOn w:val="17"/>
    <w:next w:val="11"/>
    <w:unhideWhenUsed/>
    <w:qFormat/>
    <w:uiPriority w:val="0"/>
    <w:pPr>
      <w:numPr>
        <w:ilvl w:val="5"/>
      </w:numPr>
      <w:outlineLvl w:val="6"/>
    </w:p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4172</Words>
  <Characters>4343</Characters>
  <Lines>35</Lines>
  <Paragraphs>9</Paragraphs>
  <TotalTime>1</TotalTime>
  <ScaleCrop>false</ScaleCrop>
  <LinksUpToDate>false</LinksUpToDate>
  <CharactersWithSpaces>4359</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2022-05-12T09:57:00Z</dcterms:created>
  <dc:creator>Lc0661</dc:creator>
  <cp:lastModifiedBy>administrator</cp:lastModifiedBy>
  <cp:lastPrinted>2024-05-29T11:10:00Z</cp:lastPrinted>
  <dcterms:modified xsi:type="dcterms:W3CDTF">2025-02-28T09:06:21Z</dcterms:modified>
  <cp:revision>117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93D3FD084565495C9A533C91D0962965_13</vt:lpwstr>
  </property>
  <property fmtid="{D5CDD505-2E9C-101B-9397-08002B2CF9AE}" pid="4" name="KSOTemplateDocerSaveRecord">
    <vt:lpwstr>eyJoZGlkIjoiNmZkZGE0NTY0ZDI4N2MyNjE0YWExMzkwZTU0MTlhYWMiLCJ1c2VySWQiOiIzMDAzOTA4MTUifQ==</vt:lpwstr>
  </property>
</Properties>
</file>