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36"/>
          <w:szCs w:val="36"/>
        </w:rPr>
      </w:pPr>
      <w:r>
        <w:rPr>
          <w:rFonts w:hint="eastAsia" w:ascii="黑体" w:hAnsi="黑体" w:eastAsia="黑体"/>
          <w:sz w:val="36"/>
          <w:szCs w:val="36"/>
        </w:rPr>
        <w:t>六安市地方标准编制说明</w:t>
      </w:r>
    </w:p>
    <w:p>
      <w:pPr>
        <w:autoSpaceDE w:val="0"/>
        <w:autoSpaceDN w:val="0"/>
        <w:adjustRightInd w:val="0"/>
        <w:jc w:val="left"/>
        <w:rPr>
          <w:rFonts w:ascii="宋体" w:hAnsi="Calibri" w:cs="宋体"/>
          <w:kern w:val="0"/>
          <w:sz w:val="22"/>
          <w:szCs w:val="22"/>
        </w:rPr>
      </w:pPr>
    </w:p>
    <w:tbl>
      <w:tblPr>
        <w:tblStyle w:val="4"/>
        <w:tblW w:w="92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296"/>
        <w:gridCol w:w="2418"/>
        <w:gridCol w:w="1134"/>
        <w:gridCol w:w="110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98" w:type="dxa"/>
            <w:gridSpan w:val="3"/>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标准名称</w:t>
            </w:r>
          </w:p>
        </w:tc>
        <w:tc>
          <w:tcPr>
            <w:tcW w:w="6215" w:type="dxa"/>
            <w:gridSpan w:val="4"/>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薄壳山核桃林下套种芍药栽培技术规程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998" w:type="dxa"/>
            <w:gridSpan w:val="3"/>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任务来源</w:t>
            </w:r>
          </w:p>
        </w:tc>
        <w:tc>
          <w:tcPr>
            <w:tcW w:w="6215" w:type="dxa"/>
            <w:gridSpan w:val="4"/>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根据六安市市场监督管理局《关于下达202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年度六安市地方标准制修订计划的通知》，《薄壳山核桃林下套种芍药栽培技术规程》列为</w:t>
            </w:r>
            <w:r>
              <w:rPr>
                <w:rFonts w:asciiTheme="minorEastAsia" w:hAnsiTheme="minorEastAsia" w:eastAsiaTheme="minorEastAsia"/>
                <w:sz w:val="24"/>
                <w:szCs w:val="24"/>
              </w:rPr>
              <w:t>2024</w:t>
            </w:r>
            <w:r>
              <w:rPr>
                <w:rFonts w:hint="eastAsia" w:asciiTheme="minorEastAsia" w:hAnsiTheme="minorEastAsia" w:eastAsiaTheme="minorEastAsia"/>
                <w:sz w:val="24"/>
                <w:szCs w:val="24"/>
              </w:rPr>
              <w:t>年度六安市地方标准制修订计划项目。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98" w:type="dxa"/>
            <w:gridSpan w:val="3"/>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负责起草单位</w:t>
            </w:r>
          </w:p>
        </w:tc>
        <w:tc>
          <w:tcPr>
            <w:tcW w:w="6215" w:type="dxa"/>
            <w:gridSpan w:val="4"/>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六安市叶集区辉耀农业发展有限公司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98" w:type="dxa"/>
            <w:gridSpan w:val="3"/>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单位地址</w:t>
            </w:r>
          </w:p>
        </w:tc>
        <w:tc>
          <w:tcPr>
            <w:tcW w:w="6215" w:type="dxa"/>
            <w:gridSpan w:val="4"/>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998" w:type="dxa"/>
            <w:gridSpan w:val="3"/>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参加起草单位</w:t>
            </w:r>
          </w:p>
        </w:tc>
        <w:tc>
          <w:tcPr>
            <w:tcW w:w="6215" w:type="dxa"/>
            <w:gridSpan w:val="4"/>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213" w:type="dxa"/>
            <w:gridSpan w:val="7"/>
          </w:tcPr>
          <w:p>
            <w:pPr>
              <w:pStyle w:val="9"/>
              <w:widowControl w:val="0"/>
              <w:adjustRightInd w:val="0"/>
              <w:spacing w:line="400" w:lineRule="atLeast"/>
              <w:contextualSpacing/>
              <w:rPr>
                <w:rFonts w:hAnsi="宋体"/>
                <w:szCs w:val="21"/>
              </w:rPr>
            </w:pPr>
            <w:r>
              <w:rPr>
                <w:rFonts w:hint="eastAsia" w:hAnsi="宋体"/>
                <w:szCs w:val="21"/>
              </w:rPr>
              <w:t>标准起草人：唐菲、王晶晶、张国龙、高俊兰、史丹、施六林、吴中方、张家录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0"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92"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姓</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名</w:t>
            </w:r>
          </w:p>
        </w:tc>
        <w:tc>
          <w:tcPr>
            <w:tcW w:w="3714" w:type="dxa"/>
            <w:gridSpan w:val="2"/>
            <w:vAlign w:val="center"/>
          </w:tcPr>
          <w:p>
            <w:pPr>
              <w:pStyle w:val="9"/>
              <w:widowControl w:val="0"/>
              <w:adjustRightInd w:val="0"/>
              <w:spacing w:line="400" w:lineRule="atLeast"/>
              <w:ind w:firstLine="480"/>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位</w:t>
            </w:r>
          </w:p>
        </w:tc>
        <w:tc>
          <w:tcPr>
            <w:tcW w:w="1134"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tc>
        <w:tc>
          <w:tcPr>
            <w:tcW w:w="1104"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职称</w:t>
            </w:r>
          </w:p>
        </w:tc>
        <w:tc>
          <w:tcPr>
            <w:tcW w:w="1559" w:type="dxa"/>
            <w:vAlign w:val="center"/>
          </w:tcPr>
          <w:p>
            <w:pPr>
              <w:pStyle w:val="9"/>
              <w:widowControl w:val="0"/>
              <w:adjustRightInd w:val="0"/>
              <w:spacing w:line="400" w:lineRule="atLeast"/>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电</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04"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559"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pStyle w:val="9"/>
              <w:widowControl w:val="0"/>
              <w:adjustRightInd w:val="0"/>
              <w:spacing w:line="400" w:lineRule="atLeast"/>
              <w:ind w:firstLine="480"/>
              <w:contextualSpacing/>
              <w:rPr>
                <w:rFonts w:asciiTheme="minorEastAsia" w:hAnsiTheme="minorEastAsia" w:eastAsiaTheme="minorEastAsia"/>
                <w:sz w:val="24"/>
                <w:szCs w:val="24"/>
              </w:rPr>
            </w:pPr>
          </w:p>
        </w:tc>
        <w:tc>
          <w:tcPr>
            <w:tcW w:w="1104"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559"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spacing w:line="520" w:lineRule="exact"/>
              <w:jc w:val="center"/>
              <w:rPr>
                <w:rFonts w:asciiTheme="minorEastAsia" w:hAnsiTheme="minorEastAsia" w:eastAsiaTheme="minorEastAsia"/>
                <w:sz w:val="24"/>
              </w:rPr>
            </w:pPr>
          </w:p>
        </w:tc>
        <w:tc>
          <w:tcPr>
            <w:tcW w:w="1104" w:type="dxa"/>
            <w:vAlign w:val="center"/>
          </w:tcPr>
          <w:p>
            <w:pPr>
              <w:spacing w:line="520" w:lineRule="exact"/>
              <w:jc w:val="center"/>
              <w:rPr>
                <w:rFonts w:asciiTheme="minorEastAsia" w:hAnsiTheme="minorEastAsia" w:eastAsiaTheme="minorEastAsia"/>
                <w:sz w:val="24"/>
              </w:rPr>
            </w:pPr>
          </w:p>
        </w:tc>
        <w:tc>
          <w:tcPr>
            <w:tcW w:w="1559" w:type="dxa"/>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pStyle w:val="9"/>
              <w:widowControl w:val="0"/>
              <w:adjustRightInd w:val="0"/>
              <w:spacing w:line="400" w:lineRule="atLeast"/>
              <w:ind w:firstLine="480"/>
              <w:contextualSpacing/>
              <w:rPr>
                <w:rFonts w:asciiTheme="minorEastAsia" w:hAnsiTheme="minorEastAsia" w:eastAsiaTheme="minorEastAsia"/>
                <w:sz w:val="24"/>
                <w:szCs w:val="24"/>
              </w:rPr>
            </w:pPr>
          </w:p>
        </w:tc>
        <w:tc>
          <w:tcPr>
            <w:tcW w:w="1104"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559"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pStyle w:val="9"/>
              <w:widowControl w:val="0"/>
              <w:adjustRightInd w:val="0"/>
              <w:spacing w:line="400" w:lineRule="atLeast"/>
              <w:ind w:firstLine="480"/>
              <w:contextualSpacing/>
              <w:rPr>
                <w:rFonts w:asciiTheme="minorEastAsia" w:hAnsiTheme="minorEastAsia" w:eastAsiaTheme="minorEastAsia"/>
                <w:sz w:val="24"/>
                <w:szCs w:val="24"/>
              </w:rPr>
            </w:pPr>
          </w:p>
        </w:tc>
        <w:tc>
          <w:tcPr>
            <w:tcW w:w="1104"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559"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pStyle w:val="9"/>
              <w:widowControl w:val="0"/>
              <w:adjustRightInd w:val="0"/>
              <w:spacing w:line="400" w:lineRule="atLeast"/>
              <w:ind w:firstLine="480"/>
              <w:contextualSpacing/>
              <w:rPr>
                <w:rFonts w:asciiTheme="minorEastAsia" w:hAnsiTheme="minorEastAsia" w:eastAsiaTheme="minorEastAsia"/>
                <w:sz w:val="24"/>
                <w:szCs w:val="24"/>
              </w:rPr>
            </w:pPr>
          </w:p>
        </w:tc>
        <w:tc>
          <w:tcPr>
            <w:tcW w:w="1104"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559"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vAlign w:val="center"/>
          </w:tcPr>
          <w:p>
            <w:pPr>
              <w:jc w:val="center"/>
              <w:rPr>
                <w:rFonts w:asciiTheme="minorEastAsia" w:hAnsiTheme="minorEastAsia" w:eastAsiaTheme="minorEastAsia"/>
                <w:sz w:val="24"/>
              </w:rPr>
            </w:pPr>
          </w:p>
        </w:tc>
        <w:tc>
          <w:tcPr>
            <w:tcW w:w="1104" w:type="dxa"/>
            <w:vAlign w:val="center"/>
          </w:tcPr>
          <w:p>
            <w:pPr>
              <w:jc w:val="center"/>
              <w:rPr>
                <w:rFonts w:asciiTheme="minorEastAsia" w:hAnsiTheme="minorEastAsia" w:eastAsiaTheme="minorEastAsia"/>
                <w:sz w:val="24"/>
              </w:rPr>
            </w:pPr>
          </w:p>
        </w:tc>
        <w:tc>
          <w:tcPr>
            <w:tcW w:w="1559"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1134" w:type="dxa"/>
          </w:tcPr>
          <w:p>
            <w:pPr>
              <w:spacing w:line="520" w:lineRule="exact"/>
              <w:jc w:val="center"/>
              <w:rPr>
                <w:rFonts w:asciiTheme="minorEastAsia" w:hAnsiTheme="minorEastAsia" w:eastAsiaTheme="minorEastAsia"/>
                <w:sz w:val="24"/>
              </w:rPr>
            </w:pPr>
          </w:p>
        </w:tc>
        <w:tc>
          <w:tcPr>
            <w:tcW w:w="1104" w:type="dxa"/>
          </w:tcPr>
          <w:p>
            <w:pPr>
              <w:rPr>
                <w:rFonts w:asciiTheme="minorEastAsia" w:hAnsiTheme="minorEastAsia" w:eastAsiaTheme="minorEastAsia"/>
                <w:sz w:val="24"/>
              </w:rPr>
            </w:pPr>
          </w:p>
        </w:tc>
        <w:tc>
          <w:tcPr>
            <w:tcW w:w="1559"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0" w:type="dxa"/>
            <w:vAlign w:val="center"/>
          </w:tcPr>
          <w:p>
            <w:pPr>
              <w:pStyle w:val="9"/>
              <w:widowControl w:val="0"/>
              <w:adjustRightInd w:val="0"/>
              <w:spacing w:line="400" w:lineRule="atLeast"/>
              <w:ind w:firstLine="0" w:firstLineChars="0"/>
              <w:contextualSpacing/>
              <w:jc w:val="center"/>
              <w:rPr>
                <w:rFonts w:asciiTheme="minorEastAsia" w:hAnsiTheme="minorEastAsia" w:eastAsiaTheme="minorEastAsia"/>
                <w:sz w:val="24"/>
                <w:szCs w:val="24"/>
              </w:rPr>
            </w:pPr>
          </w:p>
        </w:tc>
        <w:tc>
          <w:tcPr>
            <w:tcW w:w="992" w:type="dxa"/>
            <w:vAlign w:val="center"/>
          </w:tcPr>
          <w:p>
            <w:pPr>
              <w:pStyle w:val="9"/>
              <w:widowControl w:val="0"/>
              <w:adjustRightInd w:val="0"/>
              <w:spacing w:line="400" w:lineRule="atLeast"/>
              <w:ind w:firstLine="0" w:firstLineChars="0"/>
              <w:contextualSpacing/>
              <w:rPr>
                <w:rFonts w:asciiTheme="minorEastAsia" w:hAnsiTheme="minorEastAsia" w:eastAsiaTheme="minorEastAsia"/>
                <w:sz w:val="24"/>
                <w:szCs w:val="24"/>
              </w:rPr>
            </w:pPr>
          </w:p>
        </w:tc>
        <w:tc>
          <w:tcPr>
            <w:tcW w:w="3714" w:type="dxa"/>
            <w:gridSpan w:val="2"/>
            <w:vAlign w:val="center"/>
          </w:tcPr>
          <w:p>
            <w:pPr>
              <w:pStyle w:val="9"/>
              <w:widowControl w:val="0"/>
              <w:adjustRightInd w:val="0"/>
              <w:spacing w:line="400" w:lineRule="atLeast"/>
              <w:ind w:firstLine="480"/>
              <w:contextualSpacing/>
              <w:rPr>
                <w:rFonts w:asciiTheme="minorEastAsia" w:hAnsiTheme="minorEastAsia" w:eastAsiaTheme="minorEastAsia"/>
                <w:sz w:val="24"/>
                <w:szCs w:val="24"/>
              </w:rPr>
            </w:pPr>
          </w:p>
        </w:tc>
        <w:tc>
          <w:tcPr>
            <w:tcW w:w="1134" w:type="dxa"/>
            <w:vAlign w:val="center"/>
          </w:tcPr>
          <w:p>
            <w:pPr>
              <w:jc w:val="center"/>
              <w:rPr>
                <w:rFonts w:asciiTheme="minorEastAsia" w:hAnsiTheme="minorEastAsia" w:eastAsiaTheme="minorEastAsia"/>
                <w:kern w:val="0"/>
                <w:sz w:val="24"/>
              </w:rPr>
            </w:pPr>
          </w:p>
        </w:tc>
        <w:tc>
          <w:tcPr>
            <w:tcW w:w="1104" w:type="dxa"/>
            <w:vAlign w:val="center"/>
          </w:tcPr>
          <w:p>
            <w:pPr>
              <w:jc w:val="center"/>
              <w:rPr>
                <w:rFonts w:asciiTheme="minorEastAsia" w:hAnsiTheme="minorEastAsia" w:eastAsiaTheme="minorEastAsia"/>
                <w:kern w:val="0"/>
                <w:sz w:val="24"/>
              </w:rPr>
            </w:pPr>
          </w:p>
        </w:tc>
        <w:tc>
          <w:tcPr>
            <w:tcW w:w="1559" w:type="dxa"/>
            <w:vAlign w:val="center"/>
          </w:tcPr>
          <w:p>
            <w:pPr>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213" w:type="dxa"/>
            <w:gridSpan w:val="7"/>
            <w:vAlign w:val="center"/>
          </w:tcPr>
          <w:p>
            <w:pPr>
              <w:pStyle w:val="9"/>
              <w:widowControl w:val="0"/>
              <w:adjustRightInd w:val="0"/>
              <w:spacing w:line="360" w:lineRule="auto"/>
              <w:ind w:firstLine="480"/>
              <w:contextualSpacing/>
              <w:rPr>
                <w:rFonts w:ascii="仿宋_GB2312" w:eastAsia="仿宋_GB2312"/>
                <w:sz w:val="24"/>
              </w:rPr>
            </w:pPr>
            <w:r>
              <w:rPr>
                <w:rFonts w:hint="eastAsia" w:asciiTheme="minorEastAsia" w:hAnsiTheme="minorEastAsia" w:eastAsiaTheme="minorEastAsia"/>
                <w:sz w:val="24"/>
                <w:szCs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1"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月1</w:t>
            </w:r>
            <w:r>
              <w:rPr>
                <w:rFonts w:asciiTheme="minorEastAsia" w:hAnsiTheme="minorEastAsia" w:eastAsiaTheme="minorEastAsia"/>
                <w:sz w:val="24"/>
                <w:szCs w:val="24"/>
              </w:rPr>
              <w:t>7</w:t>
            </w:r>
            <w:r>
              <w:rPr>
                <w:rFonts w:hint="eastAsia" w:asciiTheme="minorEastAsia" w:hAnsiTheme="minorEastAsia" w:eastAsiaTheme="minorEastAsia"/>
                <w:sz w:val="24"/>
                <w:szCs w:val="24"/>
              </w:rPr>
              <w:t>日，收到六安市市场监督管理局《关于下达202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年度六安市地方标准制修订计划的通知》文件后，成立标准编制小组，成员有唐菲、王晶晶、张国龙、高俊兰、史丹、施六林、吴中方、张家录。</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近年来，六安市叶集区辉耀农业发展有限公司与安徽省农业科学院农业机械装备与工程研究所、六安市叶集区金桂种植专业合作社、六安市林业工作总站等单位联合，开展了薄壳山核桃林粮复合经营技术等相关内容研究工作，组建项目组，通过多家单位强强联合，突破技术难关。</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项目组自2018年至今，逐步探索薄壳山核桃林粮复合经营技术，基本掌握了薄壳山核桃的栽培、林粮复合经营、病虫害防治等技术，2022年立项省重点研发项目《江淮丘陵地区薄壳山核桃林农高效复合栽培技术研究与示范》，为编制该技术规程打下坚实的基础，完全具备了制定《薄壳山核桃林粮复合经营技术规程》的条件。项目组成员通过调查研究、实地生产、整理相关实验数据及有关技术资料、征集并汇总六安市及生态条件相似区内各科研院所、生产单位的意见与建议，初步完成了本标准的编写编制。</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月，六安市市场监督管理局《关于下达202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年度六安市地方标准制修订计划的通知》下达任务，进行该标准的正式立项编制。</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8</w:t>
            </w:r>
            <w:r>
              <w:rPr>
                <w:rFonts w:hint="eastAsia" w:asciiTheme="minorEastAsia" w:hAnsiTheme="minorEastAsia" w:eastAsiaTheme="minorEastAsia"/>
                <w:sz w:val="24"/>
                <w:szCs w:val="24"/>
              </w:rPr>
              <w:t>月，编制组召开统稿会，对标准各个章节进行认真审查，对存在的不足修改完善，完成初稿。</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月，先后将该标准的初稿送交六安市及生态条件相似区生产技术方面的专家和相关林业部门进行审阅和修改，广泛征求意见。</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10-11</w:t>
            </w:r>
            <w:r>
              <w:rPr>
                <w:rFonts w:hint="eastAsia" w:asciiTheme="minorEastAsia" w:hAnsiTheme="minorEastAsia" w:eastAsiaTheme="minorEastAsia"/>
                <w:sz w:val="24"/>
                <w:szCs w:val="24"/>
              </w:rPr>
              <w:t>月，编制组根据专家及生产管理部门的意见和建议，经过相关资料的查阅，内部讨论，并且结合试验研究，对初稿进一步的修改、完善，形成了标准征求意见稿。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4"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薄壳山核桃（Carya illinoinensis K.Koch）因其经济价值高、观赏及生态效益显著，为安徽林业建设的主打经济林树种之一。芍药是芍药科芍药属多年生草本植物，在我国的栽培历史非常悠久，早在夏朝、商朝、周朝之时已成为人们的观赏植物之一。发展到现代，在实际生产中一般分为药用芍药、观赏芍药两大类。药用芍药以根入药，是著名的地道中药材，应用历史悠久、用量较大、用途广泛，每年均有大量出口。薄壳山核桃栽植株行距较大,造成林下空间浪费，通林下套种芍药，发展林下农业经济，可以有效利用林下空间，能够以短养长，克服林木生产周期长、收益慢的缺点，有利于促进经济效益的发展。</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薄壳山核桃</w:t>
            </w:r>
            <w:r>
              <w:rPr>
                <w:rFonts w:hint="eastAsia" w:asciiTheme="minorEastAsia" w:hAnsiTheme="minorEastAsia" w:eastAsiaTheme="minorEastAsia"/>
                <w:sz w:val="24"/>
                <w:szCs w:val="24"/>
              </w:rPr>
              <w:t>的旺盛生长期与芍药的旺盛生长期错峰出现，</w:t>
            </w:r>
            <w:r>
              <w:rPr>
                <w:rFonts w:asciiTheme="minorEastAsia" w:hAnsiTheme="minorEastAsia" w:eastAsiaTheme="minorEastAsia"/>
                <w:sz w:val="24"/>
                <w:szCs w:val="24"/>
              </w:rPr>
              <w:t>互不影响</w:t>
            </w:r>
            <w:r>
              <w:rPr>
                <w:rFonts w:hint="eastAsia" w:asciiTheme="minorEastAsia" w:hAnsiTheme="minorEastAsia" w:eastAsiaTheme="minorEastAsia"/>
                <w:sz w:val="24"/>
                <w:szCs w:val="24"/>
              </w:rPr>
              <w:t>。芍药夏季喜凉爽气候，薄壳山核桃可以适当为其遮阴，减轻其生理病害。林下栽植</w:t>
            </w:r>
            <w:r>
              <w:rPr>
                <w:rFonts w:asciiTheme="minorEastAsia" w:hAnsiTheme="minorEastAsia" w:eastAsiaTheme="minorEastAsia"/>
                <w:sz w:val="24"/>
                <w:szCs w:val="24"/>
              </w:rPr>
              <w:t>芍药，</w:t>
            </w:r>
            <w:r>
              <w:rPr>
                <w:rFonts w:hint="eastAsia" w:asciiTheme="minorEastAsia" w:hAnsiTheme="minorEastAsia" w:eastAsiaTheme="minorEastAsia"/>
                <w:sz w:val="24"/>
                <w:szCs w:val="24"/>
              </w:rPr>
              <w:t>抑制了杂草的疯长,减少除草剂的使用,节约了栽培成本,对改善土壤通透性、抑制病虫害及杂草生长，同时避免严重水土流失、缓解土壤侵蚀，从而有利于维护生态系统的稳定性，增加了生物多样性。薄壳山核桃林下套种芍药是科学合理的搭配，经济效益好，具有广阔的发展前景。</w:t>
            </w:r>
          </w:p>
          <w:p>
            <w:pPr>
              <w:pStyle w:val="9"/>
              <w:widowControl w:val="0"/>
              <w:adjustRightInd w:val="0"/>
              <w:spacing w:line="360" w:lineRule="auto"/>
              <w:ind w:firstLine="480"/>
              <w:contextualSpacing/>
              <w:rPr>
                <w:rFonts w:asciiTheme="minorEastAsia" w:hAnsiTheme="minorEastAsia" w:eastAsiaTheme="minorEastAsia"/>
                <w:b/>
                <w:sz w:val="24"/>
                <w:szCs w:val="24"/>
              </w:rPr>
            </w:pPr>
            <w:r>
              <w:rPr>
                <w:rFonts w:hint="eastAsia" w:asciiTheme="minorEastAsia" w:hAnsiTheme="minorEastAsia" w:eastAsiaTheme="minorEastAsia"/>
                <w:sz w:val="24"/>
                <w:szCs w:val="24"/>
              </w:rPr>
              <w:t>林农复合经营将传统林业纳入产业化经营，生产形式走向集约化，资金、技术、劳动力密集投入，客观上可以吸纳更多社会剩余劳动力，对促进林区人民致富拓展了新途径，具有重要的积极意义。随着农村社会经济的快速发展,如何提高农林复合系统的资源利用效率,以促进节能减排、发展循环经济仍然是平原及低丘农区农林复合系统亟待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1、编制原则：本标准编制遵循“科学性、目的性、适用性、可操作性”的原则，严格按照</w:t>
            </w:r>
            <w:r>
              <w:rPr>
                <w:rFonts w:asciiTheme="minorEastAsia" w:hAnsiTheme="minorEastAsia" w:eastAsiaTheme="minorEastAsia"/>
                <w:sz w:val="24"/>
                <w:szCs w:val="24"/>
              </w:rPr>
              <w:t xml:space="preserve">GB/T1.1 </w:t>
            </w:r>
            <w:r>
              <w:rPr>
                <w:rFonts w:hint="eastAsia" w:asciiTheme="minorEastAsia" w:hAnsiTheme="minorEastAsia" w:eastAsiaTheme="minorEastAsia"/>
                <w:sz w:val="24"/>
                <w:szCs w:val="24"/>
              </w:rPr>
              <w:t>的要求进行编写，符合《中华人民共和国标准化法》等法律、法规、规章和强制性国家标准的要求。</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2、编制依据：本标准的制订主要依据国家有关法律、法规及六安市地方标准管理办法以及GB/T 1.1《标准化工作导则 第1部分：标准化文件的结构和起草规则》编写。</w:t>
            </w:r>
          </w:p>
          <w:p>
            <w:pPr>
              <w:pStyle w:val="9"/>
              <w:widowControl w:val="0"/>
              <w:adjustRightInd w:val="0"/>
              <w:spacing w:line="360" w:lineRule="auto"/>
              <w:ind w:firstLine="48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3、现行法律法规、标准的关系：本标准编制过程中以现有</w:t>
            </w:r>
            <w:r>
              <w:rPr>
                <w:rFonts w:asciiTheme="minorEastAsia" w:hAnsiTheme="minorEastAsia" w:eastAsiaTheme="minorEastAsia"/>
                <w:sz w:val="24"/>
                <w:szCs w:val="24"/>
              </w:rPr>
              <w:t>的安徽省地方</w:t>
            </w:r>
            <w:r>
              <w:rPr>
                <w:rFonts w:hint="eastAsia" w:asciiTheme="minorEastAsia" w:hAnsiTheme="minorEastAsia" w:eastAsiaTheme="minorEastAsia"/>
                <w:sz w:val="24"/>
                <w:szCs w:val="24"/>
              </w:rPr>
              <w:t>标准DB34/T 2749—2016《薄壳山核桃生态栽培技术规程》、DB34/T 3720—2020《薄壳山核桃主要病虫害防治技术规程》为</w:t>
            </w:r>
            <w:r>
              <w:rPr>
                <w:rFonts w:asciiTheme="minorEastAsia" w:hAnsiTheme="minorEastAsia" w:eastAsiaTheme="minorEastAsia"/>
                <w:sz w:val="24"/>
                <w:szCs w:val="24"/>
              </w:rPr>
              <w:t>依据</w:t>
            </w:r>
            <w:r>
              <w:rPr>
                <w:rFonts w:hint="eastAsia" w:asciiTheme="minorEastAsia" w:hAnsiTheme="minorEastAsia" w:eastAsiaTheme="minorEastAsia"/>
                <w:sz w:val="24"/>
                <w:szCs w:val="24"/>
              </w:rPr>
              <w:t>，与</w:t>
            </w:r>
            <w:r>
              <w:rPr>
                <w:rFonts w:asciiTheme="minorEastAsia" w:hAnsiTheme="minorEastAsia" w:eastAsiaTheme="minorEastAsia"/>
                <w:sz w:val="24"/>
                <w:szCs w:val="24"/>
              </w:rPr>
              <w:t>上述标准相应技术一致，本标准</w:t>
            </w:r>
            <w:r>
              <w:rPr>
                <w:rFonts w:hint="eastAsia" w:asciiTheme="minorEastAsia" w:hAnsiTheme="minorEastAsia" w:eastAsiaTheme="minorEastAsia"/>
                <w:sz w:val="24"/>
                <w:szCs w:val="24"/>
              </w:rPr>
              <w:t>结合了六</w:t>
            </w:r>
            <w:r>
              <w:rPr>
                <w:rFonts w:asciiTheme="minorEastAsia" w:hAnsiTheme="minorEastAsia" w:eastAsiaTheme="minorEastAsia"/>
                <w:sz w:val="24"/>
                <w:szCs w:val="24"/>
              </w:rPr>
              <w:t>安地方生产</w:t>
            </w:r>
            <w:r>
              <w:rPr>
                <w:rFonts w:hint="eastAsia" w:asciiTheme="minorEastAsia" w:hAnsiTheme="minorEastAsia" w:eastAsiaTheme="minorEastAsia"/>
                <w:sz w:val="24"/>
                <w:szCs w:val="24"/>
              </w:rPr>
              <w:t>的</w:t>
            </w:r>
            <w:r>
              <w:rPr>
                <w:rFonts w:asciiTheme="minorEastAsia" w:hAnsiTheme="minorEastAsia" w:eastAsiaTheme="minorEastAsia"/>
                <w:sz w:val="24"/>
                <w:szCs w:val="24"/>
              </w:rPr>
              <w:t>实际需求</w:t>
            </w:r>
            <w:r>
              <w:rPr>
                <w:rFonts w:hint="eastAsia" w:asciiTheme="minorEastAsia" w:hAnsiTheme="minorEastAsia" w:eastAsiaTheme="minorEastAsia"/>
                <w:sz w:val="24"/>
                <w:szCs w:val="24"/>
              </w:rPr>
              <w:t>，通过查验</w:t>
            </w:r>
            <w:r>
              <w:rPr>
                <w:rFonts w:asciiTheme="minorEastAsia" w:hAnsiTheme="minorEastAsia" w:eastAsiaTheme="minorEastAsia"/>
                <w:sz w:val="24"/>
                <w:szCs w:val="24"/>
              </w:rPr>
              <w:t>资料、试验</w:t>
            </w:r>
            <w:r>
              <w:rPr>
                <w:rFonts w:hint="eastAsia" w:asciiTheme="minorEastAsia" w:hAnsiTheme="minorEastAsia" w:eastAsiaTheme="minorEastAsia"/>
                <w:sz w:val="24"/>
                <w:szCs w:val="24"/>
              </w:rPr>
              <w:t>测定</w:t>
            </w:r>
            <w:r>
              <w:rPr>
                <w:rFonts w:asciiTheme="minorEastAsia" w:hAnsiTheme="minorEastAsia" w:eastAsiaTheme="minorEastAsia"/>
                <w:sz w:val="24"/>
                <w:szCs w:val="24"/>
              </w:rPr>
              <w:t>结合实际生产</w:t>
            </w:r>
            <w:r>
              <w:rPr>
                <w:rFonts w:hint="eastAsia" w:asciiTheme="minorEastAsia" w:hAnsiTheme="minorEastAsia" w:eastAsiaTheme="minorEastAsia"/>
                <w:sz w:val="24"/>
                <w:szCs w:val="24"/>
              </w:rPr>
              <w:t>等方法</w:t>
            </w:r>
            <w:r>
              <w:rPr>
                <w:rFonts w:asciiTheme="minorEastAsia" w:hAnsiTheme="minorEastAsia" w:eastAsiaTheme="minorEastAsia"/>
                <w:sz w:val="24"/>
                <w:szCs w:val="24"/>
              </w:rPr>
              <w:t>，</w:t>
            </w:r>
            <w:r>
              <w:rPr>
                <w:rFonts w:hint="eastAsia" w:asciiTheme="minorEastAsia" w:hAnsiTheme="minorEastAsia" w:eastAsiaTheme="minorEastAsia"/>
                <w:sz w:val="24"/>
                <w:szCs w:val="24"/>
              </w:rPr>
              <w:t>制订了本标准。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1"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项目组多年来一直从事薄壳山核桃栽培</w:t>
            </w:r>
            <w:r>
              <w:rPr>
                <w:rFonts w:asciiTheme="minorEastAsia" w:hAnsiTheme="minorEastAsia" w:eastAsiaTheme="minorEastAsia"/>
                <w:sz w:val="24"/>
                <w:szCs w:val="24"/>
              </w:rPr>
              <w:t>技术</w:t>
            </w:r>
            <w:r>
              <w:rPr>
                <w:rFonts w:hint="eastAsia" w:asciiTheme="minorEastAsia" w:hAnsiTheme="minorEastAsia" w:eastAsiaTheme="minorEastAsia"/>
                <w:sz w:val="24"/>
                <w:szCs w:val="24"/>
              </w:rPr>
              <w:t>的研究。本标准提出的林下套种</w:t>
            </w:r>
            <w:r>
              <w:rPr>
                <w:rFonts w:asciiTheme="minorEastAsia" w:hAnsiTheme="minorEastAsia" w:eastAsiaTheme="minorEastAsia"/>
                <w:sz w:val="24"/>
                <w:szCs w:val="24"/>
              </w:rPr>
              <w:t>技术</w:t>
            </w:r>
            <w:r>
              <w:rPr>
                <w:rFonts w:hint="eastAsia" w:asciiTheme="minorEastAsia" w:hAnsiTheme="minorEastAsia" w:eastAsiaTheme="minorEastAsia"/>
                <w:sz w:val="24"/>
                <w:szCs w:val="24"/>
              </w:rPr>
              <w:t>、栽后管理以及病虫害防治, 是综合项目组多年科研基础和生产单位的先进生产经验而制订的。主要关键技术说明如下：</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（1）圃地选择是芍药套种的主要技术环节之一。选择</w:t>
            </w:r>
            <w:r>
              <w:rPr>
                <w:rFonts w:asciiTheme="minorEastAsia" w:hAnsiTheme="minorEastAsia" w:eastAsiaTheme="minorEastAsia"/>
                <w:sz w:val="24"/>
                <w:szCs w:val="24"/>
              </w:rPr>
              <w:t>薄壳山核桃的行间距4m以上，</w:t>
            </w:r>
            <w:r>
              <w:rPr>
                <w:rFonts w:hint="eastAsia" w:asciiTheme="minorEastAsia" w:hAnsiTheme="minorEastAsia" w:eastAsiaTheme="minorEastAsia"/>
                <w:sz w:val="24"/>
                <w:szCs w:val="24"/>
              </w:rPr>
              <w:t>边行芍药离薄壳山核桃的距离80～100cm，</w:t>
            </w:r>
            <w:r>
              <w:rPr>
                <w:rFonts w:asciiTheme="minorEastAsia" w:hAnsiTheme="minorEastAsia" w:eastAsiaTheme="minorEastAsia"/>
                <w:sz w:val="24"/>
                <w:szCs w:val="24"/>
              </w:rPr>
              <w:t>设立</w:t>
            </w:r>
            <w:r>
              <w:rPr>
                <w:rFonts w:hint="eastAsia" w:asciiTheme="minorEastAsia" w:hAnsiTheme="minorEastAsia" w:eastAsiaTheme="minorEastAsia"/>
                <w:sz w:val="24"/>
                <w:szCs w:val="24"/>
              </w:rPr>
              <w:t>保护行。</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（2）本标准中选择的</w:t>
            </w:r>
            <w:r>
              <w:rPr>
                <w:rFonts w:asciiTheme="minorEastAsia" w:hAnsiTheme="minorEastAsia" w:eastAsiaTheme="minorEastAsia"/>
                <w:sz w:val="24"/>
                <w:szCs w:val="24"/>
              </w:rPr>
              <w:t>芍药为药用</w:t>
            </w:r>
            <w:r>
              <w:rPr>
                <w:rFonts w:hint="eastAsia" w:asciiTheme="minorEastAsia" w:hAnsiTheme="minorEastAsia" w:eastAsiaTheme="minorEastAsia"/>
                <w:sz w:val="24"/>
                <w:szCs w:val="24"/>
              </w:rPr>
              <w:t>芍药</w:t>
            </w:r>
            <w:r>
              <w:rPr>
                <w:rFonts w:asciiTheme="minorEastAsia" w:hAnsiTheme="minorEastAsia" w:eastAsiaTheme="minorEastAsia"/>
                <w:sz w:val="24"/>
                <w:szCs w:val="24"/>
              </w:rPr>
              <w:t>，不</w:t>
            </w:r>
            <w:r>
              <w:rPr>
                <w:rFonts w:hint="eastAsia" w:asciiTheme="minorEastAsia" w:hAnsiTheme="minorEastAsia" w:eastAsiaTheme="minorEastAsia"/>
                <w:sz w:val="24"/>
                <w:szCs w:val="24"/>
              </w:rPr>
              <w:t>考虑</w:t>
            </w:r>
            <w:r>
              <w:rPr>
                <w:rFonts w:asciiTheme="minorEastAsia" w:hAnsiTheme="minorEastAsia" w:eastAsiaTheme="minorEastAsia"/>
                <w:sz w:val="24"/>
                <w:szCs w:val="24"/>
              </w:rPr>
              <w:t>采收鲜切花为栽植目的</w:t>
            </w:r>
            <w:r>
              <w:rPr>
                <w:rFonts w:hint="eastAsia" w:asciiTheme="minorEastAsia" w:hAnsiTheme="minorEastAsia" w:eastAsiaTheme="minorEastAsia"/>
                <w:sz w:val="24"/>
                <w:szCs w:val="24"/>
              </w:rPr>
              <w:t>，芍药</w:t>
            </w:r>
            <w:r>
              <w:rPr>
                <w:rFonts w:asciiTheme="minorEastAsia" w:hAnsiTheme="minorEastAsia" w:eastAsiaTheme="minorEastAsia"/>
                <w:sz w:val="24"/>
                <w:szCs w:val="24"/>
              </w:rPr>
              <w:t>现蕾时要及时摘除花蕾，使其营养集中</w:t>
            </w:r>
            <w:r>
              <w:rPr>
                <w:rFonts w:hint="eastAsia" w:asciiTheme="minorEastAsia" w:hAnsiTheme="minorEastAsia" w:eastAsiaTheme="minorEastAsia"/>
                <w:sz w:val="24"/>
                <w:szCs w:val="24"/>
              </w:rPr>
              <w:t>到</w:t>
            </w:r>
            <w:r>
              <w:rPr>
                <w:rFonts w:asciiTheme="minorEastAsia" w:hAnsiTheme="minorEastAsia" w:eastAsiaTheme="minorEastAsia"/>
                <w:sz w:val="24"/>
                <w:szCs w:val="24"/>
              </w:rPr>
              <w:t>根部生长</w:t>
            </w:r>
            <w:r>
              <w:rPr>
                <w:rFonts w:hint="eastAsia" w:asciiTheme="minorEastAsia" w:hAnsiTheme="minorEastAsia" w:eastAsiaTheme="minorEastAsia"/>
                <w:sz w:val="24"/>
                <w:szCs w:val="24"/>
              </w:rPr>
              <w:t>。</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（4）本标准中施肥和</w:t>
            </w:r>
            <w:r>
              <w:rPr>
                <w:rFonts w:asciiTheme="minorEastAsia" w:hAnsiTheme="minorEastAsia" w:eastAsiaTheme="minorEastAsia"/>
                <w:sz w:val="24"/>
                <w:szCs w:val="24"/>
              </w:rPr>
              <w:t>水分管理</w:t>
            </w:r>
            <w:r>
              <w:rPr>
                <w:rFonts w:hint="eastAsia" w:asciiTheme="minorEastAsia" w:hAnsiTheme="minorEastAsia" w:eastAsiaTheme="minorEastAsia"/>
                <w:sz w:val="24"/>
                <w:szCs w:val="24"/>
              </w:rPr>
              <w:t>。薄壳山核桃山核桃和</w:t>
            </w:r>
            <w:r>
              <w:rPr>
                <w:rFonts w:asciiTheme="minorEastAsia" w:hAnsiTheme="minorEastAsia" w:eastAsiaTheme="minorEastAsia"/>
                <w:sz w:val="24"/>
                <w:szCs w:val="24"/>
              </w:rPr>
              <w:t>芍药均属于喜肥植物，</w:t>
            </w:r>
            <w:r>
              <w:rPr>
                <w:rFonts w:hint="eastAsia" w:asciiTheme="minorEastAsia" w:hAnsiTheme="minorEastAsia" w:eastAsiaTheme="minorEastAsia"/>
                <w:sz w:val="24"/>
                <w:szCs w:val="24"/>
              </w:rPr>
              <w:t>施肥</w:t>
            </w:r>
            <w:r>
              <w:rPr>
                <w:rFonts w:asciiTheme="minorEastAsia" w:hAnsiTheme="minorEastAsia" w:eastAsiaTheme="minorEastAsia"/>
                <w:sz w:val="24"/>
                <w:szCs w:val="24"/>
              </w:rPr>
              <w:t>的时间基本一致</w:t>
            </w:r>
            <w:r>
              <w:rPr>
                <w:rFonts w:hint="eastAsia" w:asciiTheme="minorEastAsia" w:hAnsiTheme="minorEastAsia" w:eastAsiaTheme="minorEastAsia"/>
                <w:sz w:val="24"/>
                <w:szCs w:val="24"/>
              </w:rPr>
              <w:t>，互不影响</w:t>
            </w:r>
            <w:r>
              <w:rPr>
                <w:rFonts w:asciiTheme="minorEastAsia" w:hAnsiTheme="minorEastAsia" w:eastAsiaTheme="minorEastAsia"/>
                <w:sz w:val="24"/>
                <w:szCs w:val="24"/>
              </w:rPr>
              <w:t>。水分</w:t>
            </w:r>
            <w:r>
              <w:rPr>
                <w:rFonts w:hint="eastAsia" w:asciiTheme="minorEastAsia" w:hAnsiTheme="minorEastAsia" w:eastAsiaTheme="minorEastAsia"/>
                <w:sz w:val="24"/>
                <w:szCs w:val="24"/>
              </w:rPr>
              <w:t>管理</w:t>
            </w:r>
            <w:r>
              <w:rPr>
                <w:rFonts w:asciiTheme="minorEastAsia" w:hAnsiTheme="minorEastAsia" w:eastAsiaTheme="minorEastAsia"/>
                <w:sz w:val="24"/>
                <w:szCs w:val="24"/>
              </w:rPr>
              <w:t>，薄壳山核桃需要大水大肥</w:t>
            </w:r>
            <w:r>
              <w:rPr>
                <w:rFonts w:hint="eastAsia" w:asciiTheme="minorEastAsia" w:hAnsiTheme="minorEastAsia" w:eastAsiaTheme="minorEastAsia"/>
                <w:sz w:val="24"/>
                <w:szCs w:val="24"/>
              </w:rPr>
              <w:t>，</w:t>
            </w:r>
            <w:r>
              <w:rPr>
                <w:rFonts w:asciiTheme="minorEastAsia" w:hAnsiTheme="minorEastAsia" w:eastAsiaTheme="minorEastAsia"/>
                <w:sz w:val="24"/>
                <w:szCs w:val="24"/>
              </w:rPr>
              <w:t>尤其灌浆期（</w:t>
            </w:r>
            <w:r>
              <w:rPr>
                <w:rFonts w:hint="eastAsia" w:asciiTheme="minorEastAsia" w:hAnsiTheme="minorEastAsia" w:eastAsiaTheme="minorEastAsia"/>
                <w:sz w:val="24"/>
                <w:szCs w:val="24"/>
              </w:rPr>
              <w:t>6-</w:t>
            </w:r>
            <w:r>
              <w:rPr>
                <w:rFonts w:asciiTheme="minorEastAsia" w:hAnsiTheme="minorEastAsia" w:eastAsiaTheme="minorEastAsia"/>
                <w:sz w:val="24"/>
                <w:szCs w:val="24"/>
              </w:rPr>
              <w:t>8</w:t>
            </w:r>
            <w:r>
              <w:rPr>
                <w:rFonts w:hint="eastAsia" w:asciiTheme="minorEastAsia" w:hAnsiTheme="minorEastAsia" w:eastAsiaTheme="minorEastAsia"/>
                <w:sz w:val="24"/>
                <w:szCs w:val="24"/>
              </w:rPr>
              <w:t>月</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需要及时浇水，</w:t>
            </w:r>
            <w:r>
              <w:rPr>
                <w:rFonts w:hint="eastAsia" w:asciiTheme="minorEastAsia" w:hAnsiTheme="minorEastAsia" w:eastAsiaTheme="minorEastAsia"/>
                <w:sz w:val="24"/>
                <w:szCs w:val="24"/>
              </w:rPr>
              <w:t>芍药</w:t>
            </w:r>
            <w:r>
              <w:rPr>
                <w:rFonts w:asciiTheme="minorEastAsia" w:hAnsiTheme="minorEastAsia" w:eastAsiaTheme="minorEastAsia"/>
                <w:sz w:val="24"/>
                <w:szCs w:val="24"/>
              </w:rPr>
              <w:t>虽然喜干怕涝，但是六安</w:t>
            </w:r>
            <w:r>
              <w:rPr>
                <w:rFonts w:hint="eastAsia" w:asciiTheme="minorEastAsia" w:hAnsiTheme="minorEastAsia" w:eastAsiaTheme="minorEastAsia"/>
                <w:sz w:val="24"/>
                <w:szCs w:val="24"/>
              </w:rPr>
              <w:t>地区</w:t>
            </w:r>
            <w:r>
              <w:rPr>
                <w:rFonts w:asciiTheme="minorEastAsia" w:hAnsiTheme="minorEastAsia" w:eastAsiaTheme="minorEastAsia"/>
                <w:sz w:val="24"/>
                <w:szCs w:val="24"/>
              </w:rPr>
              <w:t>这个时节属于夏季高温期，</w:t>
            </w:r>
            <w:r>
              <w:rPr>
                <w:rFonts w:hint="eastAsia" w:asciiTheme="minorEastAsia" w:hAnsiTheme="minorEastAsia" w:eastAsiaTheme="minorEastAsia"/>
                <w:sz w:val="24"/>
                <w:szCs w:val="24"/>
              </w:rPr>
              <w:t>天气</w:t>
            </w:r>
            <w:r>
              <w:rPr>
                <w:rFonts w:asciiTheme="minorEastAsia" w:hAnsiTheme="minorEastAsia" w:eastAsiaTheme="minorEastAsia"/>
                <w:sz w:val="24"/>
                <w:szCs w:val="24"/>
              </w:rPr>
              <w:t>炎热，空气干燥，</w:t>
            </w:r>
            <w:r>
              <w:rPr>
                <w:rFonts w:hint="eastAsia" w:asciiTheme="minorEastAsia" w:hAnsiTheme="minorEastAsia" w:eastAsiaTheme="minorEastAsia"/>
                <w:sz w:val="24"/>
                <w:szCs w:val="24"/>
              </w:rPr>
              <w:t>只要注意林下</w:t>
            </w:r>
            <w:r>
              <w:rPr>
                <w:rFonts w:asciiTheme="minorEastAsia" w:hAnsiTheme="minorEastAsia" w:eastAsiaTheme="minorEastAsia"/>
                <w:sz w:val="24"/>
                <w:szCs w:val="24"/>
              </w:rPr>
              <w:t>不积水，不会影响芍药</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生长。</w:t>
            </w:r>
          </w:p>
          <w:p>
            <w:pPr>
              <w:pStyle w:val="9"/>
              <w:widowControl w:val="0"/>
              <w:adjustRightInd w:val="0"/>
              <w:spacing w:line="360" w:lineRule="auto"/>
              <w:ind w:firstLine="480"/>
              <w:contextualSpacing/>
              <w:rPr>
                <w:rFonts w:asciiTheme="minorEastAsia" w:hAnsiTheme="minorEastAsia" w:eastAsiaTheme="minorEastAsia"/>
                <w:b/>
                <w:sz w:val="24"/>
                <w:szCs w:val="24"/>
              </w:rPr>
            </w:pPr>
            <w:r>
              <w:rPr>
                <w:rFonts w:hint="eastAsia" w:asciiTheme="minorEastAsia" w:hAnsiTheme="minorEastAsia" w:eastAsiaTheme="minorEastAsia"/>
                <w:sz w:val="24"/>
                <w:szCs w:val="24"/>
              </w:rPr>
              <w:t>（5）本标准对两种</w:t>
            </w:r>
            <w:r>
              <w:rPr>
                <w:rFonts w:asciiTheme="minorEastAsia" w:hAnsiTheme="minorEastAsia" w:eastAsiaTheme="minorEastAsia"/>
                <w:sz w:val="24"/>
                <w:szCs w:val="24"/>
              </w:rPr>
              <w:t>植物的</w:t>
            </w:r>
            <w:r>
              <w:rPr>
                <w:rFonts w:hint="eastAsia" w:asciiTheme="minorEastAsia" w:hAnsiTheme="minorEastAsia" w:eastAsiaTheme="minorEastAsia"/>
                <w:sz w:val="24"/>
                <w:szCs w:val="24"/>
              </w:rPr>
              <w:t>主要病虫害进行了说明，并制定了相关防治方法。通过这些措施，可减轻病虫害发生。附录即为病虫害资料性汇总。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本标准不设涉及专利问题。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本标准遵循“先进性、规范性、实用性”的原则。</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本标准作为单项技术，国内外没有关于本项技术的标准发布，本标准的制定，具有一定的开创性，在薄壳山核桃及其</w:t>
            </w:r>
            <w:r>
              <w:rPr>
                <w:rFonts w:asciiTheme="minorEastAsia" w:hAnsiTheme="minorEastAsia" w:eastAsiaTheme="minorEastAsia"/>
                <w:sz w:val="24"/>
                <w:szCs w:val="24"/>
              </w:rPr>
              <w:t>林下芍药种植</w:t>
            </w:r>
            <w:r>
              <w:rPr>
                <w:rFonts w:hint="eastAsia" w:asciiTheme="minorEastAsia" w:hAnsiTheme="minorEastAsia" w:eastAsiaTheme="minorEastAsia"/>
                <w:sz w:val="24"/>
                <w:szCs w:val="24"/>
              </w:rPr>
              <w:t>的生产经营中非常适用。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7</w:t>
            </w:r>
            <w:r>
              <w:rPr>
                <w:rFonts w:hint="eastAsia" w:asciiTheme="minorEastAsia" w:hAnsiTheme="minorEastAsia" w:eastAsiaTheme="minorEastAsia"/>
                <w:b/>
                <w:sz w:val="24"/>
                <w:szCs w:val="24"/>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所有编写人员通力合作，相互协调，充分讨论，广泛吸纳不同意见和建议。因此，本标准的编写无重大意见分歧。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8</w:t>
            </w:r>
            <w:r>
              <w:rPr>
                <w:rFonts w:hint="eastAsia" w:asciiTheme="minorEastAsia" w:hAnsiTheme="minorEastAsia" w:eastAsiaTheme="minorEastAsia"/>
                <w:b/>
                <w:sz w:val="24"/>
                <w:szCs w:val="24"/>
              </w:rPr>
              <w:t>、作为推荐性标准或者强制性标准的建议及其理由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建议作为推荐性标准实施。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9</w:t>
            </w:r>
            <w:r>
              <w:rPr>
                <w:rFonts w:hint="eastAsia" w:asciiTheme="minorEastAsia" w:hAnsiTheme="minorEastAsia" w:eastAsiaTheme="minorEastAsia"/>
                <w:b/>
                <w:sz w:val="24"/>
                <w:szCs w:val="24"/>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9213" w:type="dxa"/>
            <w:gridSpan w:val="7"/>
            <w:vAlign w:val="center"/>
          </w:tcPr>
          <w:p>
            <w:pPr>
              <w:pStyle w:val="9"/>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1）建议在六安地区及相似环境条件的区域，具有相关内容生产的企业或个人使用该标准。</w:t>
            </w:r>
          </w:p>
          <w:p>
            <w:pPr>
              <w:pStyle w:val="9"/>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2）建议由六安市林业局、六安市标准管理部门报请主管部门同意，印发该标准，在当地广为宣传。</w:t>
            </w:r>
          </w:p>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3）由标准起草单位负责编写实施标准的宣传学习资料和技术培训工作。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10</w:t>
            </w:r>
            <w:r>
              <w:rPr>
                <w:rFonts w:hint="eastAsia" w:asciiTheme="minorEastAsia" w:hAnsiTheme="minorEastAsia" w:eastAsiaTheme="minorEastAsia"/>
                <w:b/>
                <w:sz w:val="24"/>
                <w:szCs w:val="24"/>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13" w:type="dxa"/>
            <w:gridSpan w:val="7"/>
            <w:vAlign w:val="center"/>
          </w:tcPr>
          <w:p>
            <w:pPr>
              <w:pStyle w:val="9"/>
              <w:widowControl w:val="0"/>
              <w:adjustRightInd w:val="0"/>
              <w:spacing w:line="36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213" w:type="dxa"/>
            <w:gridSpan w:val="7"/>
            <w:vAlign w:val="center"/>
          </w:tcPr>
          <w:p>
            <w:pPr>
              <w:pStyle w:val="9"/>
              <w:widowControl w:val="0"/>
              <w:adjustRightInd w:val="0"/>
              <w:spacing w:line="360" w:lineRule="auto"/>
              <w:ind w:firstLine="482"/>
              <w:contextualSpacing/>
              <w:rPr>
                <w:rFonts w:asciiTheme="minorEastAsia" w:hAnsiTheme="minorEastAsia" w:eastAsiaTheme="minorEastAsia"/>
                <w:b/>
                <w:sz w:val="24"/>
                <w:szCs w:val="24"/>
              </w:rPr>
            </w:pPr>
            <w:r>
              <w:rPr>
                <w:rFonts w:asciiTheme="minorEastAsia" w:hAnsiTheme="minorEastAsia" w:eastAsiaTheme="minorEastAsia"/>
                <w:b/>
                <w:sz w:val="24"/>
                <w:szCs w:val="24"/>
              </w:rPr>
              <w:t>11</w:t>
            </w:r>
            <w:r>
              <w:rPr>
                <w:rFonts w:hint="eastAsia" w:asciiTheme="minorEastAsia" w:hAnsiTheme="minorEastAsia" w:eastAsiaTheme="minorEastAsia"/>
                <w:b/>
                <w:sz w:val="24"/>
                <w:szCs w:val="24"/>
              </w:rPr>
              <w:t>、其它应予说明的事项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13" w:type="dxa"/>
            <w:gridSpan w:val="7"/>
            <w:vAlign w:val="center"/>
          </w:tcPr>
          <w:p>
            <w:pPr>
              <w:pStyle w:val="9"/>
              <w:widowControl w:val="0"/>
              <w:adjustRightInd w:val="0"/>
              <w:spacing w:line="360" w:lineRule="auto"/>
              <w:ind w:firstLine="480"/>
              <w:contextualSpacing/>
              <w:rPr>
                <w:rFonts w:ascii="仿宋_GB2312" w:eastAsia="仿宋_GB2312"/>
                <w:sz w:val="24"/>
              </w:rPr>
            </w:pPr>
            <w:r>
              <w:rPr>
                <w:rFonts w:hint="eastAsia" w:asciiTheme="minorEastAsia" w:hAnsiTheme="minorEastAsia" w:eastAsiaTheme="minorEastAsia"/>
                <w:sz w:val="24"/>
                <w:szCs w:val="24"/>
              </w:rPr>
              <w:t>无</w:t>
            </w:r>
          </w:p>
        </w:tc>
      </w:tr>
    </w:tbl>
    <w:p/>
    <w:sectPr>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A46028"/>
    <w:rsid w:val="00021F0B"/>
    <w:rsid w:val="00067BD7"/>
    <w:rsid w:val="00073C52"/>
    <w:rsid w:val="000930F0"/>
    <w:rsid w:val="000A7B8C"/>
    <w:rsid w:val="000B2F53"/>
    <w:rsid w:val="000C0F0A"/>
    <w:rsid w:val="000F57ED"/>
    <w:rsid w:val="00123146"/>
    <w:rsid w:val="0012424F"/>
    <w:rsid w:val="00134D81"/>
    <w:rsid w:val="001555C6"/>
    <w:rsid w:val="001566BC"/>
    <w:rsid w:val="0018201E"/>
    <w:rsid w:val="00183C73"/>
    <w:rsid w:val="002051CC"/>
    <w:rsid w:val="0023571C"/>
    <w:rsid w:val="002428A6"/>
    <w:rsid w:val="00270015"/>
    <w:rsid w:val="00283D2D"/>
    <w:rsid w:val="002A673F"/>
    <w:rsid w:val="002D5F30"/>
    <w:rsid w:val="002E1076"/>
    <w:rsid w:val="002E359F"/>
    <w:rsid w:val="003A5F04"/>
    <w:rsid w:val="003D721F"/>
    <w:rsid w:val="004021C9"/>
    <w:rsid w:val="004377C6"/>
    <w:rsid w:val="00442A81"/>
    <w:rsid w:val="00473A9E"/>
    <w:rsid w:val="00484436"/>
    <w:rsid w:val="00496A1D"/>
    <w:rsid w:val="004D5994"/>
    <w:rsid w:val="00507DB2"/>
    <w:rsid w:val="005424C2"/>
    <w:rsid w:val="005B0F40"/>
    <w:rsid w:val="005B6748"/>
    <w:rsid w:val="005C225F"/>
    <w:rsid w:val="005D193A"/>
    <w:rsid w:val="005F136A"/>
    <w:rsid w:val="006008E8"/>
    <w:rsid w:val="00655D4D"/>
    <w:rsid w:val="00664A4B"/>
    <w:rsid w:val="006946F2"/>
    <w:rsid w:val="006B7B98"/>
    <w:rsid w:val="006D6B18"/>
    <w:rsid w:val="00714E1E"/>
    <w:rsid w:val="00763A11"/>
    <w:rsid w:val="00771A30"/>
    <w:rsid w:val="00783113"/>
    <w:rsid w:val="0079008F"/>
    <w:rsid w:val="00795C88"/>
    <w:rsid w:val="007B1A73"/>
    <w:rsid w:val="00813780"/>
    <w:rsid w:val="00815189"/>
    <w:rsid w:val="008249CD"/>
    <w:rsid w:val="00837F03"/>
    <w:rsid w:val="008500DF"/>
    <w:rsid w:val="0085229C"/>
    <w:rsid w:val="00873EF9"/>
    <w:rsid w:val="00875203"/>
    <w:rsid w:val="00877B36"/>
    <w:rsid w:val="00883F79"/>
    <w:rsid w:val="00886967"/>
    <w:rsid w:val="008A7BD6"/>
    <w:rsid w:val="008B6738"/>
    <w:rsid w:val="008D04DF"/>
    <w:rsid w:val="00902874"/>
    <w:rsid w:val="00917F22"/>
    <w:rsid w:val="00971802"/>
    <w:rsid w:val="009B48AB"/>
    <w:rsid w:val="009C4D52"/>
    <w:rsid w:val="009C522F"/>
    <w:rsid w:val="00A171E5"/>
    <w:rsid w:val="00A22FFE"/>
    <w:rsid w:val="00A37A22"/>
    <w:rsid w:val="00A44328"/>
    <w:rsid w:val="00A57D04"/>
    <w:rsid w:val="00A6216D"/>
    <w:rsid w:val="00A72BE3"/>
    <w:rsid w:val="00A87F3E"/>
    <w:rsid w:val="00AD0C80"/>
    <w:rsid w:val="00AE4481"/>
    <w:rsid w:val="00B35EF6"/>
    <w:rsid w:val="00B5305F"/>
    <w:rsid w:val="00B72999"/>
    <w:rsid w:val="00B745B1"/>
    <w:rsid w:val="00B91EE2"/>
    <w:rsid w:val="00BA442E"/>
    <w:rsid w:val="00BC2314"/>
    <w:rsid w:val="00BE7F46"/>
    <w:rsid w:val="00BF48EF"/>
    <w:rsid w:val="00BF6C28"/>
    <w:rsid w:val="00BF71EB"/>
    <w:rsid w:val="00C90D72"/>
    <w:rsid w:val="00CB4EF7"/>
    <w:rsid w:val="00CC0C72"/>
    <w:rsid w:val="00CF4620"/>
    <w:rsid w:val="00D360CC"/>
    <w:rsid w:val="00D667C2"/>
    <w:rsid w:val="00DA4479"/>
    <w:rsid w:val="00DD3106"/>
    <w:rsid w:val="00DF416F"/>
    <w:rsid w:val="00E42F77"/>
    <w:rsid w:val="00E640E8"/>
    <w:rsid w:val="00E65334"/>
    <w:rsid w:val="00EE49B0"/>
    <w:rsid w:val="00EF3361"/>
    <w:rsid w:val="00F04DC3"/>
    <w:rsid w:val="00F12F4C"/>
    <w:rsid w:val="00F32895"/>
    <w:rsid w:val="00F45BB1"/>
    <w:rsid w:val="00F64D2E"/>
    <w:rsid w:val="00F75DFC"/>
    <w:rsid w:val="00FA0362"/>
    <w:rsid w:val="00FC0D65"/>
    <w:rsid w:val="00FD43F4"/>
    <w:rsid w:val="00FD61AE"/>
    <w:rsid w:val="00FE1BD5"/>
    <w:rsid w:val="36C50CCB"/>
    <w:rsid w:val="3BAE4FCF"/>
    <w:rsid w:val="505D4C36"/>
    <w:rsid w:val="5DA46028"/>
    <w:rsid w:val="6EFF7310"/>
    <w:rsid w:val="72EB4E3E"/>
    <w:rsid w:val="77C59506"/>
    <w:rsid w:val="7B650D15"/>
    <w:rsid w:val="EFFF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99"/>
    <w:rPr>
      <w:rFonts w:cs="Times New Roman"/>
      <w:b/>
      <w:bCs/>
    </w:rPr>
  </w:style>
  <w:style w:type="character" w:styleId="8">
    <w:name w:val="Hyperlink"/>
    <w:basedOn w:val="6"/>
    <w:qFormat/>
    <w:uiPriority w:val="99"/>
    <w:rPr>
      <w:rFonts w:cs="Times New Roman"/>
      <w:color w:val="0000FF"/>
      <w:u w:val="single"/>
    </w:rPr>
  </w:style>
  <w:style w:type="paragraph" w:customStyle="1" w:styleId="9">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页眉 字符"/>
    <w:basedOn w:val="6"/>
    <w:link w:val="3"/>
    <w:qFormat/>
    <w:uiPriority w:val="0"/>
    <w:rPr>
      <w:kern w:val="2"/>
      <w:sz w:val="18"/>
      <w:szCs w:val="18"/>
    </w:rPr>
  </w:style>
  <w:style w:type="character" w:customStyle="1" w:styleId="11">
    <w:name w:val="页脚 字符"/>
    <w:basedOn w:val="6"/>
    <w:link w:val="2"/>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段 Char"/>
    <w:basedOn w:val="6"/>
    <w:link w:val="9"/>
    <w:qFormat/>
    <w:uiPriority w:val="0"/>
    <w:rPr>
      <w:rFonts w:ascii="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505</Words>
  <Characters>2884</Characters>
  <Lines>24</Lines>
  <Paragraphs>6</Paragraphs>
  <TotalTime>579</TotalTime>
  <ScaleCrop>false</ScaleCrop>
  <LinksUpToDate>false</LinksUpToDate>
  <CharactersWithSpaces>3383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2024-10-14T14:28:00Z</dcterms:created>
  <dc:creator>Administrator</dc:creator>
  <cp:lastModifiedBy>administrator</cp:lastModifiedBy>
  <dcterms:modified xsi:type="dcterms:W3CDTF">2024-10-24T09:29:00Z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91C49F234C114CC2979827FCF8B58232</vt:lpwstr>
  </property>
</Properties>
</file>