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24"/>
          <w:lang w:val="en-US" w:eastAsia="zh-CN"/>
        </w:rPr>
      </w:pPr>
      <w:r>
        <w:rPr>
          <w:rFonts w:ascii="Times New Roman" w:hAnsi="Times New Roman" w:eastAsia="黑体" w:cs="Times New Roman"/>
          <w:sz w:val="24"/>
          <w:szCs w:val="24"/>
        </w:rPr>
        <w:t>I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CS 65.020.30</w:t>
      </w:r>
    </w:p>
    <w:p>
      <w:pPr>
        <w:jc w:val="left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CCS </w:t>
      </w:r>
      <w:r>
        <w:rPr>
          <w:rFonts w:ascii="Times New Roman" w:hAnsi="Times New Roman" w:cs="Times New Roman"/>
          <w:sz w:val="24"/>
        </w:rPr>
        <w:t xml:space="preserve">B </w:t>
      </w:r>
      <w:r>
        <w:rPr>
          <w:rFonts w:hint="eastAsia" w:ascii="Times New Roman" w:hAnsi="Times New Roman" w:cs="Times New Roman"/>
          <w:sz w:val="24"/>
          <w:lang w:val="en-US" w:eastAsia="zh-CN"/>
        </w:rPr>
        <w:t>43</w:t>
      </w:r>
    </w:p>
    <w:p>
      <w:pPr>
        <w:wordWrap w:val="0"/>
        <w:ind w:firstLine="1928" w:firstLineChars="200"/>
        <w:jc w:val="right"/>
        <w:rPr>
          <w:rFonts w:hint="default" w:ascii="Times New Roman" w:hAnsi="Times New Roman" w:cs="Times New Roman" w:eastAsiaTheme="minorEastAsia"/>
          <w:b/>
          <w:bCs/>
          <w:sz w:val="72"/>
          <w:szCs w:val="72"/>
          <w:lang w:val="en-US" w:eastAsia="zh-CN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DB</w:t>
      </w:r>
      <w:r>
        <w:rPr>
          <w:rFonts w:hint="eastAsia" w:ascii="Times New Roman" w:hAnsi="Times New Roman" w:cs="Times New Roman"/>
          <w:b/>
          <w:bCs/>
          <w:sz w:val="96"/>
          <w:szCs w:val="96"/>
          <w:lang w:val="en-US" w:eastAsia="zh-CN"/>
        </w:rPr>
        <w:t>3415</w:t>
      </w:r>
      <w:r>
        <w:rPr>
          <w:rFonts w:hint="eastAsia" w:ascii="Times New Roman" w:hAnsi="Times New Roman" w:cs="Times New Roman"/>
          <w:b/>
          <w:bCs/>
          <w:sz w:val="72"/>
          <w:szCs w:val="72"/>
          <w:lang w:val="en-US" w:eastAsia="zh-CN"/>
        </w:rPr>
        <w:t xml:space="preserve">  </w:t>
      </w:r>
    </w:p>
    <w:p>
      <w:pPr>
        <w:ind w:firstLine="1040" w:firstLineChars="200"/>
        <w:jc w:val="distribute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六安市地方标准</w:t>
      </w:r>
    </w:p>
    <w:p>
      <w:pPr>
        <w:ind w:firstLine="560" w:firstLineChars="200"/>
        <w:jc w:val="right"/>
        <w:rPr>
          <w:rFonts w:ascii="Times New Roman" w:hAnsi="Times New Roman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DB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34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XXXXX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-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XXXX</w:t>
      </w:r>
    </w:p>
    <w:p>
      <w:pPr>
        <w:spacing w:line="480" w:lineRule="auto"/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148590</wp:posOffset>
                </wp:positionV>
                <wp:extent cx="57340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1.7pt;height:0pt;width:451.5pt;z-index:251660288;mso-width-relative:page;mso-height-relative:page;" filled="f" stroked="t" coordsize="21600,21600" o:gfxdata="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6XpLdcAAAAJAQAA&#10;DwAAAAAAAAABACAAAAAiAAAAZHJzL2Rvd25yZXYueG1sUEsBAhQAFAAAAAgAh07iQNYRBJfhAQAA&#10;sQMAAA4AAAAAAAAAAQAgAAAAJg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jc w:val="both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80" w:lineRule="auto"/>
        <w:jc w:val="both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80" w:lineRule="auto"/>
        <w:jc w:val="both"/>
        <w:rPr>
          <w:rFonts w:ascii="Times New Roman" w:hAnsi="Times New Roman" w:eastAsia="黑体" w:cs="Times New Roman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大别山牛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繁殖</w:t>
      </w:r>
      <w:r>
        <w:rPr>
          <w:rFonts w:hint="eastAsia" w:ascii="黑体" w:hAnsi="黑体" w:eastAsia="黑体" w:cs="黑体"/>
          <w:sz w:val="52"/>
          <w:szCs w:val="52"/>
        </w:rPr>
        <w:t>技术规范</w:t>
      </w:r>
    </w:p>
    <w:p>
      <w:pPr>
        <w:widowControl/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widowControl/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widowControl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送审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稿）</w:t>
      </w: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both"/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2023.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>发布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2023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>实施</w:t>
      </w:r>
    </w:p>
    <w:p>
      <w:pPr>
        <w:widowControl/>
        <w:jc w:val="center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sz w:val="28"/>
          <w:szCs w:val="28"/>
          <w:u w:val="none"/>
          <w:lang w:val="en-US" w:eastAsia="zh-CN"/>
        </w:rPr>
        <w:t>六安市市场监督管理局  发布</w:t>
      </w:r>
      <w:bookmarkStart w:id="0" w:name="_Toc657661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前 言</w:t>
      </w:r>
      <w:bookmarkEnd w:id="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本文件按照GB/T 1.1—2020《标准化工作导则  第1部分：标准化文件的结构和起草规则》的规定起草。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本标准由六安市农业科学研究院提出。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本标准由六安市农业农村局归口。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本标准起草单位：六安市农业科学研究院</w:t>
      </w:r>
      <w:r>
        <w:rPr>
          <w:rFonts w:hint="eastAsia" w:ascii="Times New Roman" w:hAnsi="Times New Roman" w:eastAsia="宋体" w:cs="Times New Roman"/>
          <w:kern w:val="0"/>
          <w:szCs w:val="20"/>
          <w:lang w:eastAsia="zh-CN"/>
        </w:rPr>
        <w:t>、霍邱县宋店镇农业综合服务站、</w:t>
      </w:r>
      <w:r>
        <w:rPr>
          <w:rFonts w:hint="eastAsia" w:ascii="Times New Roman" w:hAnsi="Times New Roman" w:eastAsia="宋体" w:cs="Times New Roman"/>
          <w:kern w:val="0"/>
          <w:szCs w:val="20"/>
          <w:lang w:val="en-US" w:eastAsia="zh-CN"/>
        </w:rPr>
        <w:t>六安市金安区双河镇大云岗江淮水牛养殖场、六安市农业技术推广中心、</w:t>
      </w:r>
      <w:r>
        <w:rPr>
          <w:rFonts w:hint="eastAsia" w:ascii="Times New Roman" w:hAnsi="Times New Roman" w:eastAsia="宋体" w:cs="Times New Roman"/>
          <w:kern w:val="0"/>
          <w:szCs w:val="20"/>
          <w:lang w:eastAsia="zh-CN"/>
        </w:rPr>
        <w:t>皖西学院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0"/>
          <w:szCs w:val="20"/>
          <w:lang w:val="en-US" w:eastAsia="zh-CN"/>
        </w:rPr>
      </w:pPr>
      <w:r>
        <w:rPr>
          <w:rFonts w:ascii="Times New Roman" w:hAnsi="Times New Roman" w:eastAsia="宋体" w:cs="Times New Roman"/>
          <w:kern w:val="0"/>
          <w:szCs w:val="20"/>
        </w:rPr>
        <w:t>本标准主要起草人：</w:t>
      </w:r>
      <w:r>
        <w:rPr>
          <w:rFonts w:hint="eastAsia" w:ascii="Times New Roman" w:hAnsi="Times New Roman" w:eastAsia="宋体" w:cs="Times New Roman"/>
          <w:kern w:val="0"/>
          <w:szCs w:val="20"/>
          <w:lang w:eastAsia="zh-CN"/>
        </w:rPr>
        <w:t>祝学珍</w:t>
      </w:r>
      <w:r>
        <w:rPr>
          <w:rFonts w:ascii="Times New Roman" w:hAnsi="Times New Roman" w:eastAsia="宋体" w:cs="Times New Roman"/>
          <w:kern w:val="0"/>
          <w:szCs w:val="20"/>
        </w:rPr>
        <w:t>、</w:t>
      </w:r>
      <w:r>
        <w:rPr>
          <w:rFonts w:hint="eastAsia" w:ascii="Times New Roman" w:hAnsi="Times New Roman" w:eastAsia="宋体" w:cs="Times New Roman"/>
          <w:kern w:val="0"/>
          <w:szCs w:val="20"/>
          <w:lang w:eastAsia="zh-CN"/>
        </w:rPr>
        <w:t>张书清</w:t>
      </w:r>
      <w:r>
        <w:rPr>
          <w:rFonts w:ascii="Times New Roman" w:hAnsi="Times New Roman" w:eastAsia="宋体" w:cs="Times New Roman"/>
          <w:kern w:val="0"/>
          <w:szCs w:val="20"/>
        </w:rPr>
        <w:t>、</w:t>
      </w:r>
      <w:r>
        <w:rPr>
          <w:rFonts w:hint="eastAsia" w:ascii="Times New Roman" w:hAnsi="Times New Roman" w:eastAsia="宋体" w:cs="Times New Roman"/>
          <w:kern w:val="0"/>
          <w:szCs w:val="20"/>
          <w:lang w:eastAsia="zh-CN"/>
        </w:rPr>
        <w:t>孙云开、</w:t>
      </w:r>
      <w:r>
        <w:rPr>
          <w:rFonts w:hint="eastAsia" w:ascii="Times New Roman" w:hAnsi="Times New Roman" w:eastAsia="宋体" w:cs="Times New Roman"/>
          <w:kern w:val="0"/>
          <w:szCs w:val="20"/>
          <w:lang w:val="en-US" w:eastAsia="zh-CN"/>
        </w:rPr>
        <w:t>司文化、刘道敏、陈军、</w:t>
      </w:r>
      <w:r>
        <w:rPr>
          <w:rFonts w:hint="eastAsia" w:ascii="Times New Roman" w:hAnsi="Times New Roman" w:eastAsia="宋体" w:cs="Times New Roman"/>
          <w:kern w:val="0"/>
          <w:szCs w:val="20"/>
          <w:lang w:eastAsia="zh-CN"/>
        </w:rPr>
        <w:t>沈健</w:t>
      </w:r>
      <w:r>
        <w:rPr>
          <w:rFonts w:hint="eastAsia" w:ascii="Times New Roman" w:hAnsi="Times New Roman" w:eastAsia="宋体" w:cs="Times New Roman"/>
          <w:kern w:val="0"/>
          <w:szCs w:val="20"/>
          <w:lang w:val="en-US" w:eastAsia="zh-CN"/>
        </w:rPr>
        <w:t>、胡华萍、方吉男、郝睿、胡青、潘家时、王璐璐、</w:t>
      </w:r>
      <w:r>
        <w:rPr>
          <w:rFonts w:hint="eastAsia" w:ascii="Times New Roman" w:hAnsi="Times New Roman" w:eastAsia="宋体" w:cs="Times New Roman"/>
          <w:kern w:val="0"/>
          <w:szCs w:val="20"/>
          <w:lang w:eastAsia="zh-CN"/>
        </w:rPr>
        <w:t>佘德勇、</w:t>
      </w:r>
      <w:r>
        <w:rPr>
          <w:rFonts w:hint="eastAsia" w:ascii="Times New Roman" w:hAnsi="Times New Roman" w:eastAsia="宋体" w:cs="Times New Roman"/>
          <w:kern w:val="0"/>
          <w:szCs w:val="20"/>
          <w:lang w:val="en-US" w:eastAsia="zh-CN"/>
        </w:rPr>
        <w:t xml:space="preserve">杨磊 </w:t>
      </w:r>
      <w:bookmarkStart w:id="1" w:name="_GoBack"/>
      <w:bookmarkEnd w:id="1"/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大别山牛</w:t>
      </w:r>
      <w:r>
        <w:rPr>
          <w:rFonts w:hint="eastAsia" w:ascii="黑体" w:hAnsi="黑体" w:eastAsia="黑体"/>
          <w:sz w:val="32"/>
          <w:szCs w:val="32"/>
          <w:lang w:eastAsia="zh-CN"/>
        </w:rPr>
        <w:t>繁殖</w:t>
      </w:r>
      <w:r>
        <w:rPr>
          <w:rFonts w:hint="eastAsia" w:ascii="黑体" w:hAnsi="黑体" w:eastAsia="黑体"/>
          <w:sz w:val="32"/>
          <w:szCs w:val="32"/>
        </w:rPr>
        <w:t>技术规范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</w:rPr>
        <w:t>1 范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围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本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了大别山牛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繁殖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术语和定义、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种牛选择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、饲养管理、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配种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妊娠诊断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围产期护理、犊牛护理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档案记录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等内容和技术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本文件适用于大别山牛的繁殖。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2 规范性引用文件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下列文件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中的内容通过文中的规范引用而构成本文件必不可少的条款</w:t>
      </w:r>
      <w:r>
        <w:rPr>
          <w:rFonts w:hint="eastAsia" w:ascii="宋体" w:hAnsi="宋体" w:eastAsia="宋体" w:cs="宋体"/>
          <w:sz w:val="21"/>
          <w:szCs w:val="21"/>
        </w:rPr>
        <w:t>。凡是注日期的引用文件，仅所注日期的版本适用于本文件。凡是不注日期的引用文件，其最新版本(包括所有的修改单)适用于本文件。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DB 3415/T 35 大别山牛养殖技术规范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NY/T 1234 牛冷冻精液生产技术规程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NY/T 1335 牛人工授精技术规程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NY/T 5030无公害食品 兽药使用准则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D/XM02-87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安徽省地方标准大别山黄牛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3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术语和定义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下列术语和定义适应于本文件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黑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3.1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大别山牛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 Dabie Mountain cattle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体形中等，体躯较长，角短小，鼻面平直，颈短，肩峰小，垂皮不发达，四肢强健，蹄质坚硬，被毛以黄色为主，鼻镜橘黄色，口、鼻周围有白色毛圈；成年公牛体重330-450千克，成年母牛体重在250-330千克。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3.2人工授精 artificial insemination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用人工方法采取公牛精液，经检查处理后，输入发情母牛生殖道内，使其受胎的技术。</w:t>
      </w:r>
    </w:p>
    <w:p>
      <w:pPr>
        <w:widowControl/>
        <w:spacing w:line="360" w:lineRule="auto"/>
        <w:jc w:val="left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4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 种牛选择</w:t>
      </w:r>
    </w:p>
    <w:p>
      <w:pPr>
        <w:widowControl/>
        <w:spacing w:line="360" w:lineRule="auto"/>
        <w:jc w:val="left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4.1 种公、母牛选择标准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体质外貌应符合皖 D/XM02-87的描述，且综合评定等级在二级以上。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.2 选配原则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坚持同质选配、异质选配、年龄选配，公牛等级高于母牛，禁止有遗传缺陷的公母牛交配。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 xml:space="preserve">5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饲养管理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种公牛、种母牛的饲养管理按照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DB 3415/T 35-2022中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5.3、5.4 的规定执行。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 配种</w:t>
      </w:r>
    </w:p>
    <w:p>
      <w:pPr>
        <w:widowControl/>
        <w:spacing w:line="360" w:lineRule="auto"/>
        <w:jc w:val="left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6.1 初配年龄</w:t>
      </w:r>
    </w:p>
    <w:p>
      <w:pPr>
        <w:widowControl/>
        <w:tabs>
          <w:tab w:val="left" w:pos="829"/>
        </w:tabs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公牛18-20月龄，体重达到270kg-320kg以上；母牛18-22月龄体重达到210kg-240kg以上。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6.2 母牛发情鉴定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6.2.1外观检查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兴奋活跃，鸣叫，食欲减退，排尿频繁，接受抚摸按压或其他牛爬跨，外阴部充血肿胀伴有黏液流出。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6.2.2 阴道检查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发情初期，黏液量少稀薄，无色透明；发情盛期，黏液量多色淡，粘度增高；发情后期，黏液量少，粘性差。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6.2.3 直肠检查</w:t>
      </w:r>
    </w:p>
    <w:p>
      <w:pPr>
        <w:widowControl/>
        <w:tabs>
          <w:tab w:val="left" w:pos="733"/>
        </w:tabs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通过直肠检查确定卵泡发育情况，适时输精。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卵泡出现期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卵巢稍增大，卵泡直径为 0.5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</w:t>
      </w:r>
    </w:p>
    <w:p>
      <w:pPr>
        <w:widowControl/>
        <w:tabs>
          <w:tab w:val="left" w:pos="733"/>
        </w:tabs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0.75 cm，波动不明显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卵泡发育期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卵泡增大到1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1.5cm，波动明显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卵泡成熟期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卵泡大小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不变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,但泡壁变薄有一触即破之感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这是人工授精的最佳时期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排卵期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卵泡破裂，泡液流失，泡壁变松软，形成一个小凹陷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黄体形成期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排卵后6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8h，黄体形成,直径0.6 cm。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6.3 采精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6.3.1 采精前准备</w:t>
      </w:r>
    </w:p>
    <w:p>
      <w:pPr>
        <w:widowControl/>
        <w:spacing w:line="360" w:lineRule="auto"/>
        <w:jc w:val="left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6.3.1.1 器械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准备假阴道、集精筒、乳胶漏斗等器械，并进行清洗、消毒。选用的消毒药品应符合NY/T 5030的规定。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6.3.1.2 台牛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将台牛的臀部、外阴进行清洗消毒，并固定于采精架内。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6.3.1.3公牛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对公牛的下腹部、包皮进行清洗、消毒；采精前通过空爬、观摩、按摩睾丸等措施增强公牛性欲。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6.3.1.4 人员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采精人员穿着洁净工作服和防护鞋，戴手套、口罩和帽子。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6.3.2 采精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将公牛牵到采精架旁，当公牛爬跨时，采精员手持假阴道，用左手轻托阴茎包皮，迅速将阴茎导入假阴道中，当公牛有向前冲的动作时，即表示采精完成。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6.3.3 精液处理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精子检测合格后，按照NY/T1234的规定执行。 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6.4 人工授精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根据NY/T1335的操作进行。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7妊娠诊断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7.1外部观察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配种后不再发情，食欲增加，被毛光亮，性情温和，行动谨慎，即可判定为妊娠。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7.2直肠检查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输精后二个情期未发情(40d左右)，通过直肠触摸检查子宫，可查出两侧子宫角不对称，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孕侧子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宫角较另侧略大，且柔软。60d后直肠触摸可查出妊娠子宫增大、胎儿和胎膜。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7.3超声波诊断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用B超检查母牛的子宫及胎儿、胎动、胎心搏动等。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7.4孕酮水平检测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配种后23d-25d取奶样，检测到孕酮含量高于5ng/ml则为妊娠。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 围产期护理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根据DB 3415/T 35-2022的规定执行。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9 犊牛护理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根据DB 3415/T 35-2022的规定执行。</w:t>
      </w:r>
    </w:p>
    <w:p>
      <w:pPr>
        <w:widowControl/>
        <w:spacing w:line="360" w:lineRule="auto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10 档案登记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建立大别山牛繁殖记录，记录包括但不限于系谱档案、生产性能情况、繁殖性能情况等。</w:t>
      </w:r>
    </w:p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69014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69014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I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themeColor="accent1" w:sz="12" w:space="0"/>
      </w:pBdr>
      <w:tabs>
        <w:tab w:val="left" w:pos="3620"/>
        <w:tab w:val="left" w:pos="3964"/>
      </w:tabs>
      <w:jc w:val="left"/>
      <w:rPr>
        <w:rFonts w:asciiTheme="majorHAnsi" w:hAnsiTheme="majorHAnsi" w:eastAsiaTheme="majorEastAsia" w:cstheme="majorBidi"/>
        <w:color w:val="2E75B6" w:themeColor="accent1" w:themeShade="BF"/>
      </w:rPr>
    </w:pPr>
    <w:sdt>
      <w:sdtPr>
        <w:rPr>
          <w:rFonts w:ascii="Times New Roman" w:hAnsi="Times New Roman" w:cs="Times New Roman"/>
        </w:rPr>
        <w:alias w:val="标题"/>
        <w:id w:val="-1095325600"/>
        <w:placeholder>
          <w:docPart w:val="26B4E94A84084B6AB48224BCFCCDFF71"/>
        </w:placeholder>
        <w:text/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 w:cs="Times New Roman"/>
          </w:rPr>
          <w:t>DB/</w:t>
        </w:r>
        <w:r>
          <w:rPr>
            <w:rFonts w:hint="eastAsia" w:ascii="Times New Roman" w:hAnsi="Times New Roman" w:cs="Times New Roman"/>
            <w:lang w:val="en-US" w:eastAsia="zh-CN"/>
          </w:rPr>
          <w:t xml:space="preserve"> </w:t>
        </w:r>
        <w:r>
          <w:rPr>
            <w:rFonts w:ascii="Times New Roman" w:hAnsi="Times New Roman" w:cs="Times New Roman"/>
          </w:rPr>
          <w:t xml:space="preserve"> XXX</w:t>
        </w:r>
        <w:r>
          <w:rPr>
            <w:rFonts w:hint="eastAsia" w:ascii="Times New Roman" w:hAnsi="Times New Roman" w:cs="Times New Roman"/>
          </w:rPr>
          <w:t>X</w:t>
        </w:r>
        <w:r>
          <w:rPr>
            <w:rFonts w:ascii="Times New Roman" w:hAnsi="Times New Roman" w:cs="Times New Roman"/>
          </w:rPr>
          <w:t>X</w:t>
        </w:r>
        <w:r>
          <w:rPr>
            <w:rFonts w:hint="eastAsia" w:ascii="Times New Roman" w:hAnsi="Times New Roman" w:cs="Times New Roman"/>
            <w:lang w:eastAsia="zh-CN"/>
          </w:rPr>
          <w:t>-</w:t>
        </w:r>
        <w:r>
          <w:rPr>
            <w:rFonts w:hint="eastAsia" w:ascii="Times New Roman" w:hAnsi="Times New Roman" w:cs="Times New Roman"/>
          </w:rPr>
          <w:t>XXXX</w:t>
        </w:r>
      </w:sdtContent>
    </w:sdt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jE5Nzc4ZjhlYjAwZWMyMWUxZWYyM2Q2ODMzODAifQ=="/>
  </w:docVars>
  <w:rsids>
    <w:rsidRoot w:val="2B1477A4"/>
    <w:rsid w:val="1729078F"/>
    <w:rsid w:val="1DB65CB5"/>
    <w:rsid w:val="1ED41C00"/>
    <w:rsid w:val="1EEE75B4"/>
    <w:rsid w:val="22607C65"/>
    <w:rsid w:val="2B1477A4"/>
    <w:rsid w:val="328D22CF"/>
    <w:rsid w:val="438020AF"/>
    <w:rsid w:val="4A4F4589"/>
    <w:rsid w:val="570621BE"/>
    <w:rsid w:val="63F626F7"/>
    <w:rsid w:val="65632E2C"/>
    <w:rsid w:val="74204260"/>
    <w:rsid w:val="76E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1568</Words>
  <Characters>1909</Characters>
  <Lines>0</Lines>
  <Paragraphs>0</Paragraphs>
  <TotalTime>7</TotalTime>
  <ScaleCrop>false</ScaleCrop>
  <LinksUpToDate>false</LinksUpToDate>
  <CharactersWithSpaces>2003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2023-02-27T07:40:00Z</dcterms:created>
  <dc:creator>#</dc:creator>
  <cp:lastModifiedBy>#</cp:lastModifiedBy>
  <dcterms:modified xsi:type="dcterms:W3CDTF">2023-06-13T07:39:03Z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98A5DD9DB9EF4409854BFECB5B82C74F</vt:lpwstr>
  </property>
</Properties>
</file>