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520" w:firstLineChars="7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六安市地方标准编制说明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2"/>
          <w:szCs w:val="22"/>
        </w:rPr>
      </w:pP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15"/>
        <w:gridCol w:w="924"/>
        <w:gridCol w:w="1851"/>
        <w:gridCol w:w="1200"/>
        <w:gridCol w:w="160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标准名称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油菜品种农机农艺融合生产技术规程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任务来源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六安市市场监督管理局《关于下达2023年度六安市地方标准制修订计划的通知》（六市监秘〔2023〕726 号）,项目计划号：2023-1-010。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负责起草单位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六安市农业科学研究院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六安市梅山南路农科大厦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参加起草单位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裕安区农业农村局种子管理站、六安市农业技术推广中心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95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标准起草人：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20" w:lineRule="exact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务</w:t>
            </w: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10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、编制过程简介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（1）任务来源及起草单位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2023年6月，根据六安市市场监督管理局《关于下达2023年度六安市地方标准制修订计划的通知》（六市监秘〔2023〕726 号）要求，</w:t>
            </w:r>
            <w:r>
              <w:rPr>
                <w:rFonts w:hint="eastAsia" w:ascii="仿宋_GB2312" w:hAnsi="宋体" w:eastAsia="仿宋_GB2312"/>
                <w:sz w:val="24"/>
              </w:rPr>
              <w:t>由六安市农科院在征求中国农科院油料作物研究所、安徽省农科院、安徽农业大学等相关专家基础上，会同裕安区农业农村局种子管理站、</w:t>
            </w:r>
            <w:r>
              <w:rPr>
                <w:rFonts w:hint="eastAsia" w:ascii="仿宋_GB2312" w:eastAsia="仿宋_GB2312"/>
                <w:sz w:val="24"/>
              </w:rPr>
              <w:t>六安市农业技术推广中心、</w:t>
            </w:r>
            <w:r>
              <w:rPr>
                <w:rFonts w:hint="eastAsia" w:ascii="仿宋_GB2312" w:hAnsi="宋体" w:eastAsia="仿宋_GB2312"/>
                <w:sz w:val="24"/>
              </w:rPr>
              <w:t>舒城县农技推广中心共同起草完成。该技术规程编制充分考虑了我市油菜生产实际，做到生产可行性，技术先进性，指导准确性。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（2）标准起草过程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①前期试验研究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相关项目支持下，针对我市油菜生产中存在的成本高、劳动强度大、收益低等实际问题，六安市农科院同中国农科院油料作物研究所、安徽省科院、安徽农业大学等相关单位一起开展油菜品种农机农艺融合生产技术、简化播载技术、病虫草害防控技术、高效施肥技术、高产群体构建、机械化收获技术、防渍害高产高效栽培技术等一系列试验研究。通过系统的研究，确定了油菜品种农机农艺融合生产技术的品种选择、机具要求、整地、移栽时期、肥料运筹、草害防除等配套技术参数，结合机械播种、植保无人机防治病虫害、机械收获，实现油菜品种农机农艺融合生产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②</w:t>
            </w:r>
            <w:r>
              <w:rPr>
                <w:rFonts w:hint="eastAsia" w:ascii="仿宋_GB2312" w:hAnsi="宋体" w:eastAsia="仿宋_GB2312"/>
                <w:sz w:val="24"/>
              </w:rPr>
              <w:t>技术集成及大田生产应用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获取油菜品种农机农艺融合生产各个技术环节的适宜参数后，建立了以适期早播、精异丙甲草胺封闭除草为主的油菜品种农机农艺融合生产模式，并在金安、裕安、舒城、霍邱、寿县等地开展大面积的试验示范。采用该技术种植油菜，每亩可减少用工5-7个，增加纯收益300-500元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③</w:t>
            </w:r>
            <w:r>
              <w:rPr>
                <w:rFonts w:hint="eastAsia" w:ascii="仿宋_GB2312" w:hAnsi="宋体" w:eastAsia="仿宋_GB2312"/>
                <w:sz w:val="24"/>
              </w:rPr>
              <w:t>成立地方标准起草工作组，制定工作方案，启动标准项目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2023年6月，六安市农科院在收到六安市市场监督管理局《关于下达2023年度六安市地方标准制修订计划的通知》（六市监秘〔2023〕726 号）</w:t>
            </w:r>
            <w:r>
              <w:rPr>
                <w:rFonts w:hint="eastAsia" w:ascii="仿宋_GB2312" w:eastAsia="仿宋_GB2312"/>
                <w:sz w:val="24"/>
              </w:rPr>
              <w:t>后，成立了标准起草工作组。标准起草组成员具有丰富的油菜田间栽培管理知识和实践经验，了解标准化工作的相关规定并具有较强的文字表达能力的同志组成。工作组成立后，制定了详细工作计划，明确标准起草的任务分工，工作落实到人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④</w:t>
            </w:r>
            <w:r>
              <w:rPr>
                <w:rFonts w:hint="eastAsia" w:ascii="仿宋_GB2312" w:eastAsia="仿宋_GB2312"/>
                <w:sz w:val="24"/>
              </w:rPr>
              <w:t>调查研究，收集资料，撰写标准初稿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2023年7月至2023年11月，六安市农科院组织人员，根据前期研究成果和生产试验示范情况，充分调研，在听取了其他科研院所、技术推广部门、龙头企业、专业合作社、种植大户等不同层面意见的基础上，于2023年12月完成标准初稿。</w:t>
            </w:r>
          </w:p>
          <w:p>
            <w:pPr>
              <w:widowControl/>
              <w:spacing w:line="480" w:lineRule="exact"/>
              <w:ind w:left="420" w:left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⑤</w:t>
            </w:r>
            <w:r>
              <w:rPr>
                <w:rFonts w:hint="eastAsia" w:ascii="仿宋_GB2312" w:hAnsi="宋体" w:eastAsia="仿宋_GB2312"/>
                <w:sz w:val="24"/>
              </w:rPr>
              <w:t>召开标准制定工作研讨会，形成征求意见稿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2024年1月-2024年3月，六安市农科院组织召开标准工作研讨会2次，标准起草工作组成员对标准的制定原则和制定内容进行了研讨，起草组整合了各相关单位、各相关专家提出的意见和建议，修改形成了标准征求意见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必要性：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油菜是我国第一大油料作物，国产菜籽油占国产油料作物产油量的55%以上，当前我国国产植物油供给率只有30%左右，发展油菜生产对维护国家食用油供给安全具有重要意义；油菜每年还可生产高蛋白饲用饼粕约800万吨，是我国第二大饲用蛋白源。油菜生产主要是利用冬季闲田，具有不与粮食争地的优势；油菜又是种地与养地相结合的作物，与麦-稻轮作相比，油-稻轮作可显著提高土壤有机质和有机磷含量，增加土壤空闲度，提高后茬水稻产量6-15%。双低菜籽油在大宗食用植物油中饱和脂肪酸含量最低，不饱和脂肪酸含量最高，且多不饱和脂肪酸组成合理，符合人类营养与健康对不同脂肪酸的需求；另外菜籽油中甾醇、维生素E、植物多酚等脂质功能性活性成分含量丰富，其营养价值高于大豆油和被人们视为高端油品的“茶油”、“橄榄油”，远胜于棕榈油，是最健康的大宗食用植物油；国内外研究表明，长期适量食用双低菜籽油，可降低血脂和血液中胆固醇含量，有效预防心脑血管疾病，提高免疫力，预防癌症，增强智力，抗衰老等。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地处长江中下游，光、温、水资源丰富，非常适合油菜生长，当地百姓有种植油菜习惯和食用菜籽油偏好，六安也是油菜生产大市，是我国发展优质油菜生产的黄金地带，常年种植面积60～80万亩，高峰期近250万亩，年产菜籽10万吨以上，平均单产150kg/亩左右，高于全国平均水平（130kg/亩）15.4%。油菜是我市种植的除水稻、小麦之外的第三大作物，是最主要的油料作物。但近年来我市油菜种植面积呈下滑趋势，其主要原因：一方面是油菜种植相比于同季小麦风险较大。六安地处大别山区，是气象灾害频发区域，旱害和涝害并存，油菜相比于小麦抗逆性稍差，且适播期短，种植油菜和种植小麦相比风险相对较大，农户种植油菜热情不如小麦；另一方面稻油茬口矛盾严重，不利于油菜种植面积增加。为了提高水稻产量，水稻收获越来越晚，水稻茬油菜难以保证在适播期播种，直接影响油菜播种面积和产量；三是油菜种植技术水平低、投入大、效益低。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意义：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广油菜品种农机农艺融合生产技术其目的、意义在于：一是提高稻茬油菜生产技术，实现油菜种植良种、良法配套，农机、农艺融合，降低油菜种植成本，提升农民油菜种植收益；二是有效利用冬季闲田，生产出更多油菜籽，提高食用油自给率，满足人们对高端健康菜籽油的需求；三是改良土壤，改善生态，实现农业生产绿色、安全、高效、可持续发展；四是“以花为媒”、“以油促游”，助推休闲农业一二三产融合发展，美丽宜居和美乡村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、制定标准的原则和依据，与现行法律法规、标准的关系，特别是强制性标准的协调性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本标准编制遵循“科学性、目的性、适用性、可操作性”的原则，严格按照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GB/T1.1 </w:t>
            </w:r>
            <w:r>
              <w:rPr>
                <w:rFonts w:hint="eastAsia" w:ascii="仿宋_GB2312" w:eastAsia="仿宋_GB2312"/>
                <w:kern w:val="0"/>
                <w:sz w:val="24"/>
              </w:rPr>
              <w:t>的要求进行编写，符合《中华人民共和国标准化法》等法律、法规、规章和强制性国家标准的要求。</w:t>
            </w:r>
          </w:p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本标准编制过程中参照的标准有：GB/T 8321（所有部分） 农药合理使用准则；NY 414 低芥酸低硫苷油菜种子；NY 846 油菜产地环境；NY/T 496 肥料合理使用准则 通则；NY/T 794 油菜菌核病防治技术规程；NY/T 1087 油菜籽干燥与储藏技术规程；NY/T 1231 油菜联合收获机 质量评价技术规范；NY/T 1276 农药安全使用规范总则；NY/T 1997 除草剂安全使用技术规范 通则；NY/T 2705 油菜播种机 作业质量；NY/T 3213 植保无人机 质量评价技术规范；NY/T 3887-2021 油菜毯壮苗移栽机 作业质量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、主要条款的说明，主要技术指标、参数、试验验证的论述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pStyle w:val="8"/>
              <w:spacing w:line="480" w:lineRule="exact"/>
              <w:ind w:firstLine="470" w:firstLineChars="19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本规程规定了油菜品种农机农艺融合生产过程中的术语与定义、品种选择、机具要求、整地、直播与移栽、田间管理、机械收获、储藏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等关键技术。</w:t>
            </w:r>
          </w:p>
          <w:p>
            <w:pPr>
              <w:pStyle w:val="8"/>
              <w:spacing w:line="480" w:lineRule="exact"/>
              <w:ind w:firstLine="470" w:firstLineChars="19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技术规程适用于我市油菜品种农机农艺融合生产管理，长江中下游相似地区可参照执行。标准的技术条款具有一定的科学性、规范性、时效性，可规范我市油菜品种农机农艺融合生产管理，促进油菜产业绿色、健康发展，带动农民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、标准中如果涉及专利，应有明确的知识产权说明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本标准不设涉及专利问题。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、采用国际标准或国外先进标准的，说明采标程度，以及国内外同类标准水平的对比情况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本标准为首次自主制定，不涉及国际、国外的采标情况。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、重大分歧意见的处理经过和依据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sz w:val="24"/>
              </w:rPr>
              <w:t>、作为推荐性标准或者强制性标准的建议及其理由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建议作为地方推荐性标准实施。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、贯彻标准的要求和措施建议（包括组织措施、技术措施、过渡办法、实施日期等）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该标准发布实施后，建议各级农技推广部门认真组织学习，就标准相关内容进行解读，使标准执行人员了解标准、熟悉标准，规范油菜品种农机农艺融合生产管理，这将对六安市油菜产业</w:t>
            </w:r>
            <w:r>
              <w:rPr>
                <w:rFonts w:hint="eastAsia" w:ascii="仿宋_GB2312" w:hAnsi="宋体" w:eastAsia="仿宋_GB2312"/>
                <w:sz w:val="24"/>
              </w:rPr>
              <w:t>发展具有较强指导意义，建议及时在我市进行宣贯实施。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、废止现行相关标准的建议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sz w:val="24"/>
              </w:rPr>
              <w:t>、其它应予说明的事项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895" w:type="dxa"/>
            <w:gridSpan w:val="7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46028"/>
    <w:rsid w:val="0001038D"/>
    <w:rsid w:val="000B2926"/>
    <w:rsid w:val="001248CD"/>
    <w:rsid w:val="00617B7E"/>
    <w:rsid w:val="00701AF5"/>
    <w:rsid w:val="007848B1"/>
    <w:rsid w:val="007A672A"/>
    <w:rsid w:val="00812040"/>
    <w:rsid w:val="00847E98"/>
    <w:rsid w:val="008B49E5"/>
    <w:rsid w:val="00A01D15"/>
    <w:rsid w:val="00A5033C"/>
    <w:rsid w:val="00AD0B0B"/>
    <w:rsid w:val="00AD4FEA"/>
    <w:rsid w:val="00E5102D"/>
    <w:rsid w:val="2F530D96"/>
    <w:rsid w:val="36C50CCB"/>
    <w:rsid w:val="3BAE4FCF"/>
    <w:rsid w:val="505D4C36"/>
    <w:rsid w:val="5DA46028"/>
    <w:rsid w:val="72EB4E3E"/>
    <w:rsid w:val="7B6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customStyle="1" w:styleId="8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555</Words>
  <Characters>3170</Characters>
  <Lines>26</Lines>
  <Paragraphs>7</Paragraphs>
  <TotalTime>71</TotalTime>
  <ScaleCrop>false</ScaleCrop>
  <LinksUpToDate>false</LinksUpToDate>
  <CharactersWithSpaces>3718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2024-04-08T20:29:00Z</dcterms:created>
  <dc:creator>Administrator</dc:creator>
  <cp:lastModifiedBy>administrator</cp:lastModifiedBy>
  <dcterms:modified xsi:type="dcterms:W3CDTF">2024-04-11T10:39:00Z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91C49F234C114CC2979827FCF8B58232</vt:lpwstr>
  </property>
</Properties>
</file>