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1AA3B">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w:t>
      </w:r>
      <w:r>
        <w:rPr>
          <w:rFonts w:hint="eastAsia" w:ascii="方正小标宋简体" w:hAnsi="方正小标宋简体" w:eastAsia="方正小标宋简体" w:cs="方正小标宋简体"/>
          <w:color w:val="auto"/>
          <w:kern w:val="2"/>
          <w:sz w:val="32"/>
          <w:szCs w:val="32"/>
          <w:lang w:eastAsia="zh-CN"/>
        </w:rPr>
        <w:t>液化石油气</w:t>
      </w:r>
      <w:r>
        <w:rPr>
          <w:rFonts w:hint="eastAsia" w:ascii="方正小标宋简体" w:hAnsi="方正小标宋简体" w:eastAsia="方正小标宋简体" w:cs="方正小标宋简体"/>
          <w:color w:val="auto"/>
          <w:kern w:val="2"/>
          <w:sz w:val="32"/>
          <w:szCs w:val="32"/>
        </w:rPr>
        <w:t>产品质量监督抽查实施细则</w:t>
      </w:r>
    </w:p>
    <w:p w14:paraId="7A601A30">
      <w:pPr>
        <w:snapToGrid w:val="0"/>
        <w:spacing w:line="440" w:lineRule="exact"/>
        <w:rPr>
          <w:rFonts w:eastAsia="黑体"/>
          <w:color w:val="000000"/>
          <w:szCs w:val="21"/>
        </w:rPr>
      </w:pPr>
      <w:r>
        <w:rPr>
          <w:rFonts w:eastAsia="黑体"/>
          <w:color w:val="000000"/>
          <w:szCs w:val="21"/>
        </w:rPr>
        <w:t>1 抽样方法</w:t>
      </w:r>
    </w:p>
    <w:p w14:paraId="495F0326">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488A9B9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3692CEA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color w:val="000000"/>
        </w:rPr>
      </w:pPr>
      <w:r>
        <w:rPr>
          <w:rFonts w:hint="eastAsia" w:ascii="宋体" w:hAnsi="宋体"/>
          <w:color w:val="000000"/>
        </w:rPr>
        <w:t>抽取样品应为同一型号规格、同一批次的产品</w:t>
      </w:r>
      <w:r>
        <w:rPr>
          <w:rFonts w:hint="eastAsia" w:ascii="宋体" w:hAnsi="宋体" w:cs="宋体"/>
        </w:rPr>
        <w:t>，</w:t>
      </w:r>
      <w:r>
        <w:rPr>
          <w:rFonts w:hint="eastAsia" w:ascii="宋体" w:hAnsi="宋体"/>
          <w:color w:val="000000"/>
        </w:rPr>
        <w:t>按照</w:t>
      </w:r>
      <w:r>
        <w:rPr>
          <w:rFonts w:ascii="宋体" w:hAnsi="宋体" w:cs="宋体"/>
        </w:rPr>
        <w:t>GB 11174</w:t>
      </w:r>
      <w:r>
        <w:rPr>
          <w:rFonts w:hint="eastAsia" w:ascii="宋体" w:hAnsi="宋体" w:cs="宋体"/>
        </w:rPr>
        <w:t>、</w:t>
      </w:r>
      <w:r>
        <w:rPr>
          <w:rFonts w:hint="eastAsia" w:ascii="宋体" w:hAnsi="宋体" w:cs="宋体"/>
          <w:lang w:val="en-US" w:eastAsia="zh-CN"/>
        </w:rPr>
        <w:t>NB/</w:t>
      </w:r>
      <w:r>
        <w:rPr>
          <w:rFonts w:ascii="宋体" w:hAnsi="宋体" w:cs="宋体"/>
        </w:rPr>
        <w:t>SH/T 0233</w:t>
      </w:r>
      <w:r>
        <w:rPr>
          <w:rFonts w:hint="eastAsia" w:ascii="宋体" w:hAnsi="宋体"/>
          <w:color w:val="000000"/>
        </w:rPr>
        <w:t>进行。</w:t>
      </w:r>
    </w:p>
    <w:p w14:paraId="584413EB">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s="宋体"/>
        </w:rPr>
        <w:t>每批样品至少取</w:t>
      </w:r>
      <w:r>
        <w:rPr>
          <w:rFonts w:hint="eastAsia" w:ascii="宋体" w:hAnsi="宋体"/>
        </w:rPr>
        <w:t>1</w:t>
      </w:r>
      <w:r>
        <w:rPr>
          <w:rFonts w:ascii="宋体" w:hAnsi="宋体"/>
        </w:rPr>
        <w:t>kg</w:t>
      </w:r>
      <w:r>
        <w:rPr>
          <w:rFonts w:hint="eastAsia" w:ascii="宋体" w:hAnsi="宋体" w:cs="宋体"/>
        </w:rPr>
        <w:t>×2份，一份作为检验样品，一份作为备用样品。样品全部带回承检机构。抽查样品基数满足抽样数量即可。</w:t>
      </w:r>
    </w:p>
    <w:p w14:paraId="5D166C5D">
      <w:pPr>
        <w:snapToGrid w:val="0"/>
        <w:spacing w:line="440" w:lineRule="exact"/>
        <w:ind w:firstLine="420" w:firstLineChars="200"/>
        <w:rPr>
          <w:color w:val="000000"/>
          <w:szCs w:val="21"/>
        </w:rPr>
      </w:pPr>
    </w:p>
    <w:p w14:paraId="2891A926">
      <w:pPr>
        <w:snapToGrid w:val="0"/>
        <w:spacing w:line="440" w:lineRule="exact"/>
        <w:rPr>
          <w:rFonts w:eastAsia="黑体"/>
          <w:color w:val="000000"/>
          <w:szCs w:val="21"/>
        </w:rPr>
      </w:pPr>
      <w:r>
        <w:rPr>
          <w:rFonts w:eastAsia="黑体"/>
          <w:color w:val="000000"/>
          <w:szCs w:val="21"/>
        </w:rPr>
        <w:t>2 检验依据</w:t>
      </w:r>
    </w:p>
    <w:tbl>
      <w:tblPr>
        <w:tblStyle w:val="8"/>
        <w:tblW w:w="4172" w:type="pct"/>
        <w:jc w:val="center"/>
        <w:tblLayout w:type="autofit"/>
        <w:tblCellMar>
          <w:top w:w="0" w:type="dxa"/>
          <w:left w:w="108" w:type="dxa"/>
          <w:bottom w:w="0" w:type="dxa"/>
          <w:right w:w="108" w:type="dxa"/>
        </w:tblCellMar>
      </w:tblPr>
      <w:tblGrid>
        <w:gridCol w:w="1221"/>
        <w:gridCol w:w="1096"/>
        <w:gridCol w:w="2400"/>
        <w:gridCol w:w="2938"/>
      </w:tblGrid>
      <w:tr w14:paraId="22862653">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1A909673">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gridSpan w:val="2"/>
            <w:vMerge w:val="restart"/>
            <w:tcBorders>
              <w:top w:val="single" w:color="auto" w:sz="8" w:space="0"/>
              <w:left w:val="single" w:color="auto" w:sz="8" w:space="0"/>
              <w:bottom w:val="single" w:color="000000" w:sz="8" w:space="0"/>
              <w:right w:val="single" w:color="000000" w:sz="8" w:space="0"/>
            </w:tcBorders>
            <w:noWrap w:val="0"/>
            <w:vAlign w:val="center"/>
          </w:tcPr>
          <w:p w14:paraId="11D88415">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311BBC87">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59F4D628">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63DC3CE9">
            <w:pPr>
              <w:widowControl/>
              <w:jc w:val="center"/>
              <w:rPr>
                <w:rFonts w:ascii="宋体" w:cs="宋体"/>
                <w:color w:val="000000"/>
                <w:kern w:val="0"/>
                <w:sz w:val="21"/>
                <w:szCs w:val="24"/>
              </w:rPr>
            </w:pPr>
          </w:p>
        </w:tc>
        <w:tc>
          <w:tcPr>
            <w:tcW w:w="3496" w:type="dxa"/>
            <w:gridSpan w:val="2"/>
            <w:vMerge w:val="continue"/>
            <w:tcBorders>
              <w:top w:val="single" w:color="auto" w:sz="8" w:space="0"/>
              <w:left w:val="single" w:color="auto" w:sz="8" w:space="0"/>
              <w:bottom w:val="single" w:color="000000" w:sz="8" w:space="0"/>
              <w:right w:val="single" w:color="000000" w:sz="8" w:space="0"/>
            </w:tcBorders>
            <w:noWrap w:val="0"/>
            <w:vAlign w:val="center"/>
          </w:tcPr>
          <w:p w14:paraId="7F0A7ABC">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6ED0FFBA">
            <w:pPr>
              <w:widowControl/>
              <w:jc w:val="center"/>
              <w:rPr>
                <w:rFonts w:ascii="宋体" w:cs="宋体"/>
                <w:color w:val="000000"/>
                <w:kern w:val="0"/>
                <w:sz w:val="21"/>
                <w:szCs w:val="24"/>
              </w:rPr>
            </w:pPr>
          </w:p>
        </w:tc>
      </w:tr>
      <w:tr w14:paraId="14F0BD77">
        <w:tblPrEx>
          <w:tblCellMar>
            <w:top w:w="0" w:type="dxa"/>
            <w:left w:w="108" w:type="dxa"/>
            <w:bottom w:w="0" w:type="dxa"/>
            <w:right w:w="108" w:type="dxa"/>
          </w:tblCellMar>
        </w:tblPrEx>
        <w:trPr>
          <w:trHeight w:val="634" w:hRule="exact"/>
          <w:jc w:val="center"/>
        </w:trPr>
        <w:tc>
          <w:tcPr>
            <w:tcW w:w="1221" w:type="dxa"/>
            <w:tcBorders>
              <w:top w:val="nil"/>
              <w:left w:val="single" w:color="auto" w:sz="8" w:space="0"/>
              <w:bottom w:val="single" w:color="auto" w:sz="8" w:space="0"/>
              <w:right w:val="single" w:color="auto" w:sz="8" w:space="0"/>
            </w:tcBorders>
            <w:noWrap w:val="0"/>
            <w:vAlign w:val="center"/>
          </w:tcPr>
          <w:p w14:paraId="33AA2376">
            <w:pPr>
              <w:widowControl/>
              <w:jc w:val="center"/>
              <w:rPr>
                <w:rFonts w:ascii="宋体" w:hAnsi="宋体" w:cs="宋体"/>
                <w:color w:val="000000"/>
                <w:kern w:val="0"/>
                <w:sz w:val="21"/>
                <w:szCs w:val="24"/>
              </w:rPr>
            </w:pPr>
            <w:r>
              <w:rPr>
                <w:rFonts w:ascii="宋体" w:hAnsi="宋体" w:cs="宋体"/>
                <w:color w:val="000000"/>
                <w:kern w:val="0"/>
                <w:sz w:val="21"/>
                <w:szCs w:val="24"/>
              </w:rPr>
              <w:t>1</w:t>
            </w:r>
          </w:p>
        </w:tc>
        <w:tc>
          <w:tcPr>
            <w:tcW w:w="3496" w:type="dxa"/>
            <w:gridSpan w:val="2"/>
            <w:tcBorders>
              <w:top w:val="single" w:color="auto" w:sz="8" w:space="0"/>
              <w:left w:val="nil"/>
              <w:bottom w:val="single" w:color="auto" w:sz="8" w:space="0"/>
              <w:right w:val="single" w:color="000000" w:sz="8" w:space="0"/>
            </w:tcBorders>
            <w:noWrap w:val="0"/>
            <w:vAlign w:val="center"/>
          </w:tcPr>
          <w:p w14:paraId="2F255E43">
            <w:pPr>
              <w:widowControl/>
              <w:jc w:val="center"/>
              <w:rPr>
                <w:rFonts w:ascii="宋体" w:cs="宋体"/>
                <w:color w:val="000000"/>
                <w:kern w:val="0"/>
                <w:sz w:val="21"/>
                <w:szCs w:val="24"/>
              </w:rPr>
            </w:pPr>
            <w:r>
              <w:rPr>
                <w:rFonts w:hint="eastAsia" w:ascii="宋体" w:hAnsi="宋体" w:cs="宋体"/>
                <w:color w:val="000000"/>
                <w:kern w:val="0"/>
                <w:sz w:val="21"/>
                <w:szCs w:val="24"/>
              </w:rPr>
              <w:t>密度</w:t>
            </w:r>
          </w:p>
        </w:tc>
        <w:tc>
          <w:tcPr>
            <w:tcW w:w="2938" w:type="dxa"/>
            <w:tcBorders>
              <w:top w:val="nil"/>
              <w:left w:val="nil"/>
              <w:bottom w:val="single" w:color="auto" w:sz="8" w:space="0"/>
              <w:right w:val="single" w:color="auto" w:sz="8" w:space="0"/>
            </w:tcBorders>
            <w:noWrap w:val="0"/>
            <w:vAlign w:val="center"/>
          </w:tcPr>
          <w:p w14:paraId="1B55AF41">
            <w:pPr>
              <w:widowControl/>
              <w:jc w:val="center"/>
              <w:rPr>
                <w:rFonts w:ascii="宋体" w:hAnsi="宋体" w:cs="宋体"/>
                <w:color w:val="000000"/>
                <w:kern w:val="0"/>
                <w:sz w:val="21"/>
                <w:szCs w:val="24"/>
              </w:rPr>
            </w:pPr>
            <w:r>
              <w:rPr>
                <w:rFonts w:ascii="宋体" w:hAnsi="宋体" w:cs="宋体"/>
                <w:color w:val="000000"/>
                <w:kern w:val="0"/>
                <w:sz w:val="21"/>
                <w:szCs w:val="24"/>
              </w:rPr>
              <w:t>SH/T 0221</w:t>
            </w:r>
          </w:p>
          <w:p w14:paraId="53B2D5B3">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GB/T 12576</w:t>
            </w:r>
          </w:p>
        </w:tc>
      </w:tr>
      <w:tr w14:paraId="5D1844FF">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2EFFA193">
            <w:pPr>
              <w:widowControl/>
              <w:jc w:val="center"/>
              <w:rPr>
                <w:rFonts w:ascii="宋体" w:hAnsi="宋体" w:cs="宋体"/>
                <w:color w:val="000000"/>
                <w:kern w:val="0"/>
                <w:sz w:val="21"/>
                <w:szCs w:val="24"/>
              </w:rPr>
            </w:pPr>
            <w:r>
              <w:rPr>
                <w:rFonts w:ascii="宋体" w:hAnsi="宋体" w:cs="宋体"/>
                <w:color w:val="000000"/>
                <w:kern w:val="0"/>
                <w:sz w:val="21"/>
                <w:szCs w:val="24"/>
              </w:rPr>
              <w:t>2</w:t>
            </w:r>
          </w:p>
        </w:tc>
        <w:tc>
          <w:tcPr>
            <w:tcW w:w="3496" w:type="dxa"/>
            <w:gridSpan w:val="2"/>
            <w:tcBorders>
              <w:top w:val="single" w:color="auto" w:sz="8" w:space="0"/>
              <w:left w:val="nil"/>
              <w:bottom w:val="single" w:color="auto" w:sz="8" w:space="0"/>
              <w:right w:val="single" w:color="000000" w:sz="8" w:space="0"/>
            </w:tcBorders>
            <w:noWrap w:val="0"/>
            <w:vAlign w:val="center"/>
          </w:tcPr>
          <w:p w14:paraId="2E2A6FF8">
            <w:pPr>
              <w:widowControl/>
              <w:jc w:val="center"/>
              <w:rPr>
                <w:rFonts w:ascii="宋体" w:cs="宋体"/>
                <w:color w:val="000000"/>
                <w:kern w:val="0"/>
                <w:sz w:val="21"/>
                <w:szCs w:val="24"/>
              </w:rPr>
            </w:pPr>
            <w:r>
              <w:rPr>
                <w:rFonts w:hint="eastAsia" w:ascii="宋体" w:hAnsi="宋体" w:cs="宋体"/>
                <w:color w:val="000000"/>
                <w:kern w:val="0"/>
                <w:sz w:val="21"/>
                <w:szCs w:val="24"/>
              </w:rPr>
              <w:t>蒸气压</w:t>
            </w:r>
          </w:p>
        </w:tc>
        <w:tc>
          <w:tcPr>
            <w:tcW w:w="2938" w:type="dxa"/>
            <w:tcBorders>
              <w:top w:val="nil"/>
              <w:left w:val="nil"/>
              <w:bottom w:val="single" w:color="auto" w:sz="8" w:space="0"/>
              <w:right w:val="single" w:color="auto" w:sz="8" w:space="0"/>
            </w:tcBorders>
            <w:noWrap w:val="0"/>
            <w:vAlign w:val="center"/>
          </w:tcPr>
          <w:p w14:paraId="140D68D5">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GB/T 12576</w:t>
            </w:r>
          </w:p>
        </w:tc>
      </w:tr>
      <w:tr w14:paraId="3350B5DC">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35E0C870">
            <w:pPr>
              <w:widowControl/>
              <w:jc w:val="center"/>
              <w:rPr>
                <w:rFonts w:ascii="宋体" w:hAnsi="宋体" w:cs="宋体"/>
                <w:color w:val="000000"/>
                <w:kern w:val="0"/>
                <w:sz w:val="21"/>
                <w:szCs w:val="24"/>
              </w:rPr>
            </w:pPr>
            <w:r>
              <w:rPr>
                <w:rFonts w:ascii="宋体" w:hAnsi="宋体" w:cs="宋体"/>
                <w:color w:val="000000"/>
                <w:kern w:val="0"/>
                <w:sz w:val="21"/>
                <w:szCs w:val="24"/>
              </w:rPr>
              <w:t>3</w:t>
            </w:r>
          </w:p>
        </w:tc>
        <w:tc>
          <w:tcPr>
            <w:tcW w:w="1096" w:type="dxa"/>
            <w:vMerge w:val="restart"/>
            <w:tcBorders>
              <w:top w:val="nil"/>
              <w:left w:val="single" w:color="auto" w:sz="8" w:space="0"/>
              <w:bottom w:val="single" w:color="000000" w:sz="8" w:space="0"/>
              <w:right w:val="single" w:color="auto" w:sz="8" w:space="0"/>
            </w:tcBorders>
            <w:noWrap w:val="0"/>
            <w:vAlign w:val="center"/>
          </w:tcPr>
          <w:p w14:paraId="5DF053A1">
            <w:pPr>
              <w:widowControl/>
              <w:jc w:val="center"/>
              <w:rPr>
                <w:rFonts w:ascii="宋体" w:cs="宋体"/>
                <w:color w:val="000000"/>
                <w:kern w:val="0"/>
                <w:sz w:val="21"/>
                <w:szCs w:val="24"/>
              </w:rPr>
            </w:pPr>
            <w:r>
              <w:rPr>
                <w:rFonts w:hint="eastAsia" w:ascii="宋体" w:hAnsi="宋体" w:cs="宋体"/>
                <w:color w:val="000000"/>
                <w:kern w:val="0"/>
                <w:sz w:val="21"/>
                <w:szCs w:val="24"/>
              </w:rPr>
              <w:t>组分</w:t>
            </w:r>
          </w:p>
        </w:tc>
        <w:tc>
          <w:tcPr>
            <w:tcW w:w="2400" w:type="dxa"/>
            <w:tcBorders>
              <w:top w:val="nil"/>
              <w:left w:val="nil"/>
              <w:bottom w:val="single" w:color="auto" w:sz="8" w:space="0"/>
              <w:right w:val="single" w:color="auto" w:sz="8" w:space="0"/>
            </w:tcBorders>
            <w:noWrap w:val="0"/>
            <w:vAlign w:val="center"/>
          </w:tcPr>
          <w:p w14:paraId="7577A704">
            <w:pPr>
              <w:widowControl/>
              <w:jc w:val="center"/>
              <w:rPr>
                <w:rFonts w:ascii="宋体" w:cs="宋体"/>
                <w:color w:val="000000"/>
                <w:kern w:val="0"/>
                <w:sz w:val="21"/>
                <w:szCs w:val="24"/>
              </w:rPr>
            </w:pPr>
            <w:r>
              <w:rPr>
                <w:rFonts w:ascii="宋体" w:hAnsi="宋体" w:cs="宋体"/>
                <w:color w:val="000000"/>
                <w:kern w:val="0"/>
                <w:sz w:val="21"/>
                <w:szCs w:val="24"/>
              </w:rPr>
              <w:t>C</w:t>
            </w:r>
            <w:r>
              <w:rPr>
                <w:rFonts w:ascii="宋体" w:hAnsi="宋体" w:cs="宋体"/>
                <w:color w:val="000000"/>
                <w:kern w:val="0"/>
                <w:sz w:val="21"/>
                <w:szCs w:val="24"/>
                <w:vertAlign w:val="subscript"/>
              </w:rPr>
              <w:t>3</w:t>
            </w:r>
            <w:r>
              <w:rPr>
                <w:rFonts w:hint="eastAsia" w:ascii="宋体" w:hAnsi="宋体" w:cs="宋体"/>
                <w:color w:val="000000"/>
                <w:kern w:val="0"/>
                <w:sz w:val="21"/>
                <w:szCs w:val="24"/>
              </w:rPr>
              <w:t>烃类组分</w:t>
            </w:r>
          </w:p>
        </w:tc>
        <w:tc>
          <w:tcPr>
            <w:tcW w:w="2938" w:type="dxa"/>
            <w:vMerge w:val="restart"/>
            <w:tcBorders>
              <w:top w:val="nil"/>
              <w:left w:val="single" w:color="auto" w:sz="8" w:space="0"/>
              <w:bottom w:val="single" w:color="000000" w:sz="8" w:space="0"/>
              <w:right w:val="single" w:color="auto" w:sz="8" w:space="0"/>
            </w:tcBorders>
            <w:noWrap w:val="0"/>
            <w:vAlign w:val="center"/>
          </w:tcPr>
          <w:p w14:paraId="5DA042E8">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rPr>
              <w:t>NB/</w:t>
            </w:r>
            <w:r>
              <w:rPr>
                <w:rFonts w:ascii="宋体" w:hAnsi="宋体" w:cs="宋体"/>
                <w:color w:val="000000"/>
                <w:kern w:val="0"/>
                <w:sz w:val="21"/>
                <w:szCs w:val="24"/>
              </w:rPr>
              <w:t>SH/T 0230</w:t>
            </w:r>
          </w:p>
        </w:tc>
      </w:tr>
      <w:tr w14:paraId="4C498704">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516F9F74">
            <w:pPr>
              <w:widowControl/>
              <w:jc w:val="center"/>
              <w:rPr>
                <w:rFonts w:ascii="宋体" w:hAnsi="宋体" w:cs="宋体"/>
                <w:color w:val="000000"/>
                <w:kern w:val="0"/>
                <w:sz w:val="21"/>
                <w:szCs w:val="24"/>
              </w:rPr>
            </w:pPr>
            <w:r>
              <w:rPr>
                <w:rFonts w:ascii="宋体" w:hAnsi="宋体" w:cs="宋体"/>
                <w:color w:val="000000"/>
                <w:kern w:val="0"/>
                <w:sz w:val="21"/>
                <w:szCs w:val="24"/>
              </w:rPr>
              <w:t>4</w:t>
            </w:r>
          </w:p>
        </w:tc>
        <w:tc>
          <w:tcPr>
            <w:tcW w:w="1096" w:type="dxa"/>
            <w:vMerge w:val="continue"/>
            <w:tcBorders>
              <w:top w:val="nil"/>
              <w:left w:val="single" w:color="auto" w:sz="8" w:space="0"/>
              <w:bottom w:val="single" w:color="000000" w:sz="8" w:space="0"/>
              <w:right w:val="single" w:color="auto" w:sz="8" w:space="0"/>
            </w:tcBorders>
            <w:noWrap w:val="0"/>
            <w:vAlign w:val="center"/>
          </w:tcPr>
          <w:p w14:paraId="08E00F2B">
            <w:pPr>
              <w:widowControl/>
              <w:jc w:val="center"/>
              <w:rPr>
                <w:rFonts w:ascii="宋体" w:cs="宋体"/>
                <w:color w:val="000000"/>
                <w:kern w:val="0"/>
                <w:sz w:val="21"/>
                <w:szCs w:val="24"/>
              </w:rPr>
            </w:pPr>
          </w:p>
        </w:tc>
        <w:tc>
          <w:tcPr>
            <w:tcW w:w="2400" w:type="dxa"/>
            <w:tcBorders>
              <w:top w:val="nil"/>
              <w:left w:val="nil"/>
              <w:bottom w:val="single" w:color="auto" w:sz="8" w:space="0"/>
              <w:right w:val="single" w:color="auto" w:sz="8" w:space="0"/>
            </w:tcBorders>
            <w:noWrap w:val="0"/>
            <w:vAlign w:val="center"/>
          </w:tcPr>
          <w:p w14:paraId="6CAE302D">
            <w:pPr>
              <w:widowControl/>
              <w:jc w:val="center"/>
              <w:rPr>
                <w:rFonts w:ascii="宋体" w:cs="宋体"/>
                <w:color w:val="000000"/>
                <w:kern w:val="0"/>
                <w:sz w:val="21"/>
                <w:szCs w:val="24"/>
              </w:rPr>
            </w:pPr>
            <w:r>
              <w:rPr>
                <w:rFonts w:ascii="宋体" w:hAnsi="宋体" w:cs="宋体"/>
                <w:color w:val="000000"/>
                <w:kern w:val="0"/>
                <w:sz w:val="21"/>
                <w:szCs w:val="24"/>
              </w:rPr>
              <w:t>C</w:t>
            </w:r>
            <w:r>
              <w:rPr>
                <w:rFonts w:ascii="宋体" w:hAnsi="宋体" w:cs="宋体"/>
                <w:color w:val="000000"/>
                <w:kern w:val="0"/>
                <w:sz w:val="21"/>
                <w:szCs w:val="24"/>
                <w:vertAlign w:val="subscript"/>
              </w:rPr>
              <w:t>4</w:t>
            </w:r>
            <w:r>
              <w:rPr>
                <w:rFonts w:hint="eastAsia" w:ascii="宋体" w:hAnsi="宋体" w:cs="宋体"/>
                <w:color w:val="000000"/>
                <w:kern w:val="0"/>
                <w:sz w:val="21"/>
                <w:szCs w:val="24"/>
              </w:rPr>
              <w:t>及</w:t>
            </w:r>
            <w:r>
              <w:rPr>
                <w:rFonts w:ascii="宋体" w:hAnsi="宋体" w:cs="宋体"/>
                <w:color w:val="000000"/>
                <w:kern w:val="0"/>
                <w:sz w:val="21"/>
                <w:szCs w:val="24"/>
              </w:rPr>
              <w:t>C</w:t>
            </w:r>
            <w:r>
              <w:rPr>
                <w:rFonts w:ascii="宋体" w:hAnsi="宋体" w:cs="宋体"/>
                <w:color w:val="000000"/>
                <w:kern w:val="0"/>
                <w:sz w:val="21"/>
                <w:szCs w:val="24"/>
                <w:vertAlign w:val="subscript"/>
              </w:rPr>
              <w:t>4</w:t>
            </w:r>
            <w:r>
              <w:rPr>
                <w:rFonts w:hint="eastAsia" w:ascii="宋体" w:hAnsi="宋体" w:cs="宋体"/>
                <w:color w:val="000000"/>
                <w:kern w:val="0"/>
                <w:sz w:val="21"/>
                <w:szCs w:val="24"/>
              </w:rPr>
              <w:t>以上烃类组分</w:t>
            </w:r>
          </w:p>
        </w:tc>
        <w:tc>
          <w:tcPr>
            <w:tcW w:w="2938" w:type="dxa"/>
            <w:vMerge w:val="continue"/>
            <w:tcBorders>
              <w:top w:val="nil"/>
              <w:left w:val="single" w:color="auto" w:sz="8" w:space="0"/>
              <w:bottom w:val="single" w:color="000000" w:sz="8" w:space="0"/>
              <w:right w:val="single" w:color="auto" w:sz="8" w:space="0"/>
            </w:tcBorders>
            <w:noWrap w:val="0"/>
            <w:vAlign w:val="center"/>
          </w:tcPr>
          <w:p w14:paraId="2FBE5F83">
            <w:pPr>
              <w:widowControl/>
              <w:jc w:val="center"/>
              <w:rPr>
                <w:rFonts w:ascii="宋体" w:cs="宋体"/>
                <w:color w:val="000000"/>
                <w:kern w:val="0"/>
                <w:sz w:val="21"/>
                <w:szCs w:val="24"/>
              </w:rPr>
            </w:pPr>
          </w:p>
        </w:tc>
      </w:tr>
      <w:tr w14:paraId="58038048">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4E96BD01">
            <w:pPr>
              <w:widowControl/>
              <w:jc w:val="center"/>
              <w:rPr>
                <w:rFonts w:ascii="宋体" w:hAnsi="宋体" w:cs="宋体"/>
                <w:color w:val="000000"/>
                <w:kern w:val="0"/>
                <w:sz w:val="21"/>
                <w:szCs w:val="24"/>
              </w:rPr>
            </w:pPr>
            <w:r>
              <w:rPr>
                <w:rFonts w:ascii="宋体" w:hAnsi="宋体" w:cs="宋体"/>
                <w:color w:val="000000"/>
                <w:kern w:val="0"/>
                <w:sz w:val="21"/>
                <w:szCs w:val="24"/>
              </w:rPr>
              <w:t>5</w:t>
            </w:r>
          </w:p>
        </w:tc>
        <w:tc>
          <w:tcPr>
            <w:tcW w:w="1096" w:type="dxa"/>
            <w:vMerge w:val="continue"/>
            <w:tcBorders>
              <w:top w:val="nil"/>
              <w:left w:val="single" w:color="auto" w:sz="8" w:space="0"/>
              <w:bottom w:val="single" w:color="000000" w:sz="8" w:space="0"/>
              <w:right w:val="single" w:color="auto" w:sz="8" w:space="0"/>
            </w:tcBorders>
            <w:noWrap w:val="0"/>
            <w:vAlign w:val="center"/>
          </w:tcPr>
          <w:p w14:paraId="09581A62">
            <w:pPr>
              <w:widowControl/>
              <w:jc w:val="center"/>
              <w:rPr>
                <w:rFonts w:ascii="宋体" w:cs="宋体"/>
                <w:color w:val="000000"/>
                <w:kern w:val="0"/>
                <w:sz w:val="21"/>
                <w:szCs w:val="24"/>
              </w:rPr>
            </w:pPr>
          </w:p>
        </w:tc>
        <w:tc>
          <w:tcPr>
            <w:tcW w:w="2400" w:type="dxa"/>
            <w:tcBorders>
              <w:top w:val="nil"/>
              <w:left w:val="nil"/>
              <w:bottom w:val="single" w:color="auto" w:sz="8" w:space="0"/>
              <w:right w:val="single" w:color="auto" w:sz="8" w:space="0"/>
            </w:tcBorders>
            <w:noWrap w:val="0"/>
            <w:vAlign w:val="center"/>
          </w:tcPr>
          <w:p w14:paraId="26FD4A85">
            <w:pPr>
              <w:widowControl/>
              <w:jc w:val="center"/>
              <w:rPr>
                <w:rFonts w:ascii="宋体" w:cs="宋体"/>
                <w:color w:val="000000"/>
                <w:kern w:val="0"/>
                <w:sz w:val="21"/>
                <w:szCs w:val="24"/>
              </w:rPr>
            </w:pPr>
            <w:r>
              <w:rPr>
                <w:rFonts w:hint="eastAsia" w:ascii="宋体" w:hAnsi="宋体" w:cs="宋体"/>
                <w:color w:val="000000"/>
                <w:kern w:val="0"/>
                <w:sz w:val="21"/>
                <w:szCs w:val="24"/>
              </w:rPr>
              <w:t>（</w:t>
            </w:r>
            <w:r>
              <w:rPr>
                <w:rFonts w:ascii="宋体" w:hAnsi="宋体" w:cs="宋体"/>
                <w:color w:val="000000"/>
                <w:kern w:val="0"/>
                <w:sz w:val="21"/>
                <w:szCs w:val="24"/>
              </w:rPr>
              <w:t>C</w:t>
            </w:r>
            <w:r>
              <w:rPr>
                <w:rFonts w:ascii="宋体" w:hAnsi="宋体" w:cs="宋体"/>
                <w:color w:val="000000"/>
                <w:kern w:val="0"/>
                <w:sz w:val="21"/>
                <w:szCs w:val="24"/>
                <w:vertAlign w:val="subscript"/>
              </w:rPr>
              <w:t>3</w:t>
            </w:r>
            <w:r>
              <w:rPr>
                <w:rFonts w:ascii="宋体" w:hAnsi="宋体" w:cs="宋体"/>
                <w:color w:val="000000"/>
                <w:kern w:val="0"/>
                <w:sz w:val="21"/>
                <w:szCs w:val="24"/>
              </w:rPr>
              <w:t>+C</w:t>
            </w:r>
            <w:r>
              <w:rPr>
                <w:rFonts w:ascii="宋体" w:hAnsi="宋体" w:cs="宋体"/>
                <w:color w:val="000000"/>
                <w:kern w:val="0"/>
                <w:sz w:val="21"/>
                <w:szCs w:val="24"/>
                <w:vertAlign w:val="subscript"/>
              </w:rPr>
              <w:t>4</w:t>
            </w:r>
            <w:r>
              <w:rPr>
                <w:rFonts w:hint="eastAsia" w:ascii="宋体" w:hAnsi="宋体" w:cs="宋体"/>
                <w:color w:val="000000"/>
                <w:kern w:val="0"/>
                <w:sz w:val="21"/>
                <w:szCs w:val="24"/>
              </w:rPr>
              <w:t>）烃类组分</w:t>
            </w:r>
          </w:p>
        </w:tc>
        <w:tc>
          <w:tcPr>
            <w:tcW w:w="2938" w:type="dxa"/>
            <w:vMerge w:val="continue"/>
            <w:tcBorders>
              <w:top w:val="nil"/>
              <w:left w:val="single" w:color="auto" w:sz="8" w:space="0"/>
              <w:bottom w:val="single" w:color="000000" w:sz="8" w:space="0"/>
              <w:right w:val="single" w:color="auto" w:sz="8" w:space="0"/>
            </w:tcBorders>
            <w:noWrap w:val="0"/>
            <w:vAlign w:val="center"/>
          </w:tcPr>
          <w:p w14:paraId="5E4F8726">
            <w:pPr>
              <w:widowControl/>
              <w:jc w:val="center"/>
              <w:rPr>
                <w:rFonts w:ascii="宋体" w:cs="宋体"/>
                <w:color w:val="000000"/>
                <w:kern w:val="0"/>
                <w:sz w:val="21"/>
                <w:szCs w:val="24"/>
              </w:rPr>
            </w:pPr>
          </w:p>
        </w:tc>
      </w:tr>
      <w:tr w14:paraId="223270E1">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32CD3216">
            <w:pPr>
              <w:widowControl/>
              <w:jc w:val="center"/>
              <w:rPr>
                <w:rFonts w:ascii="宋体" w:hAnsi="宋体" w:cs="宋体"/>
                <w:color w:val="000000"/>
                <w:kern w:val="0"/>
                <w:sz w:val="21"/>
                <w:szCs w:val="24"/>
              </w:rPr>
            </w:pPr>
            <w:r>
              <w:rPr>
                <w:rFonts w:ascii="宋体" w:hAnsi="宋体" w:cs="宋体"/>
                <w:color w:val="000000"/>
                <w:kern w:val="0"/>
                <w:sz w:val="21"/>
                <w:szCs w:val="24"/>
              </w:rPr>
              <w:t>6</w:t>
            </w:r>
          </w:p>
        </w:tc>
        <w:tc>
          <w:tcPr>
            <w:tcW w:w="1096" w:type="dxa"/>
            <w:vMerge w:val="continue"/>
            <w:tcBorders>
              <w:top w:val="nil"/>
              <w:left w:val="single" w:color="auto" w:sz="8" w:space="0"/>
              <w:bottom w:val="single" w:color="000000" w:sz="8" w:space="0"/>
              <w:right w:val="single" w:color="auto" w:sz="8" w:space="0"/>
            </w:tcBorders>
            <w:noWrap w:val="0"/>
            <w:vAlign w:val="center"/>
          </w:tcPr>
          <w:p w14:paraId="70A5F1CF">
            <w:pPr>
              <w:widowControl/>
              <w:jc w:val="center"/>
              <w:rPr>
                <w:rFonts w:ascii="宋体" w:cs="宋体"/>
                <w:color w:val="000000"/>
                <w:kern w:val="0"/>
                <w:sz w:val="21"/>
                <w:szCs w:val="24"/>
              </w:rPr>
            </w:pPr>
          </w:p>
        </w:tc>
        <w:tc>
          <w:tcPr>
            <w:tcW w:w="2400" w:type="dxa"/>
            <w:tcBorders>
              <w:top w:val="nil"/>
              <w:left w:val="nil"/>
              <w:bottom w:val="single" w:color="auto" w:sz="8" w:space="0"/>
              <w:right w:val="single" w:color="auto" w:sz="8" w:space="0"/>
            </w:tcBorders>
            <w:noWrap w:val="0"/>
            <w:vAlign w:val="center"/>
          </w:tcPr>
          <w:p w14:paraId="4C37EAE3">
            <w:pPr>
              <w:widowControl/>
              <w:jc w:val="center"/>
              <w:rPr>
                <w:rFonts w:ascii="宋体" w:cs="宋体"/>
                <w:color w:val="000000"/>
                <w:kern w:val="0"/>
                <w:sz w:val="21"/>
                <w:szCs w:val="24"/>
              </w:rPr>
            </w:pPr>
            <w:r>
              <w:rPr>
                <w:rFonts w:ascii="宋体" w:hAnsi="宋体" w:cs="宋体"/>
                <w:color w:val="000000"/>
                <w:kern w:val="0"/>
                <w:sz w:val="21"/>
                <w:szCs w:val="24"/>
              </w:rPr>
              <w:t>C</w:t>
            </w:r>
            <w:r>
              <w:rPr>
                <w:rFonts w:ascii="宋体" w:hAnsi="宋体" w:cs="宋体"/>
                <w:color w:val="000000"/>
                <w:kern w:val="0"/>
                <w:sz w:val="21"/>
                <w:szCs w:val="24"/>
                <w:vertAlign w:val="subscript"/>
              </w:rPr>
              <w:t>5</w:t>
            </w:r>
            <w:r>
              <w:rPr>
                <w:rFonts w:hint="eastAsia" w:ascii="宋体" w:hAnsi="宋体" w:cs="宋体"/>
                <w:color w:val="000000"/>
                <w:kern w:val="0"/>
                <w:sz w:val="21"/>
                <w:szCs w:val="24"/>
              </w:rPr>
              <w:t>及</w:t>
            </w:r>
            <w:r>
              <w:rPr>
                <w:rFonts w:ascii="宋体" w:hAnsi="宋体" w:cs="宋体"/>
                <w:color w:val="000000"/>
                <w:kern w:val="0"/>
                <w:sz w:val="21"/>
                <w:szCs w:val="24"/>
              </w:rPr>
              <w:t>C</w:t>
            </w:r>
            <w:r>
              <w:rPr>
                <w:rFonts w:ascii="宋体" w:hAnsi="宋体" w:cs="宋体"/>
                <w:color w:val="000000"/>
                <w:kern w:val="0"/>
                <w:sz w:val="21"/>
                <w:szCs w:val="24"/>
                <w:vertAlign w:val="subscript"/>
              </w:rPr>
              <w:t>5</w:t>
            </w:r>
            <w:r>
              <w:rPr>
                <w:rFonts w:hint="eastAsia" w:ascii="宋体" w:hAnsi="宋体" w:cs="宋体"/>
                <w:color w:val="000000"/>
                <w:kern w:val="0"/>
                <w:sz w:val="21"/>
                <w:szCs w:val="24"/>
              </w:rPr>
              <w:t>以上烃类组分</w:t>
            </w:r>
          </w:p>
        </w:tc>
        <w:tc>
          <w:tcPr>
            <w:tcW w:w="2938" w:type="dxa"/>
            <w:vMerge w:val="continue"/>
            <w:tcBorders>
              <w:top w:val="nil"/>
              <w:left w:val="single" w:color="auto" w:sz="8" w:space="0"/>
              <w:bottom w:val="single" w:color="000000" w:sz="8" w:space="0"/>
              <w:right w:val="single" w:color="auto" w:sz="8" w:space="0"/>
            </w:tcBorders>
            <w:noWrap w:val="0"/>
            <w:vAlign w:val="center"/>
          </w:tcPr>
          <w:p w14:paraId="593852CC">
            <w:pPr>
              <w:widowControl/>
              <w:jc w:val="center"/>
              <w:rPr>
                <w:rFonts w:ascii="宋体" w:cs="宋体"/>
                <w:color w:val="000000"/>
                <w:kern w:val="0"/>
                <w:sz w:val="21"/>
                <w:szCs w:val="24"/>
              </w:rPr>
            </w:pPr>
          </w:p>
        </w:tc>
      </w:tr>
      <w:tr w14:paraId="0C3AD040">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20E2B082">
            <w:pPr>
              <w:widowControl/>
              <w:jc w:val="center"/>
              <w:rPr>
                <w:rFonts w:ascii="宋体" w:hAnsi="宋体" w:cs="宋体"/>
                <w:color w:val="000000"/>
                <w:kern w:val="0"/>
                <w:sz w:val="21"/>
                <w:szCs w:val="24"/>
              </w:rPr>
            </w:pPr>
            <w:r>
              <w:rPr>
                <w:rFonts w:ascii="宋体" w:hAnsi="宋体" w:cs="宋体"/>
                <w:color w:val="000000"/>
                <w:kern w:val="0"/>
                <w:sz w:val="21"/>
                <w:szCs w:val="24"/>
              </w:rPr>
              <w:t>7</w:t>
            </w:r>
          </w:p>
        </w:tc>
        <w:tc>
          <w:tcPr>
            <w:tcW w:w="1096" w:type="dxa"/>
            <w:vMerge w:val="restart"/>
            <w:tcBorders>
              <w:top w:val="nil"/>
              <w:left w:val="single" w:color="auto" w:sz="8" w:space="0"/>
              <w:bottom w:val="single" w:color="000000" w:sz="8" w:space="0"/>
              <w:right w:val="single" w:color="auto" w:sz="8" w:space="0"/>
            </w:tcBorders>
            <w:noWrap w:val="0"/>
            <w:vAlign w:val="center"/>
          </w:tcPr>
          <w:p w14:paraId="50580295">
            <w:pPr>
              <w:widowControl/>
              <w:jc w:val="center"/>
              <w:rPr>
                <w:rFonts w:ascii="宋体" w:hAnsi="宋体" w:cs="宋体"/>
                <w:color w:val="000000"/>
                <w:kern w:val="0"/>
                <w:sz w:val="21"/>
                <w:szCs w:val="24"/>
              </w:rPr>
            </w:pPr>
            <w:r>
              <w:rPr>
                <w:rFonts w:hint="eastAsia" w:ascii="宋体" w:hAnsi="宋体" w:cs="宋体"/>
                <w:color w:val="000000"/>
                <w:kern w:val="0"/>
                <w:sz w:val="21"/>
                <w:szCs w:val="24"/>
              </w:rPr>
              <w:t>残留物</w:t>
            </w:r>
          </w:p>
        </w:tc>
        <w:tc>
          <w:tcPr>
            <w:tcW w:w="2400" w:type="dxa"/>
            <w:tcBorders>
              <w:top w:val="nil"/>
              <w:left w:val="nil"/>
              <w:bottom w:val="single" w:color="auto" w:sz="8" w:space="0"/>
              <w:right w:val="single" w:color="auto" w:sz="8" w:space="0"/>
            </w:tcBorders>
            <w:noWrap w:val="0"/>
            <w:vAlign w:val="center"/>
          </w:tcPr>
          <w:p w14:paraId="5B4B0006">
            <w:pPr>
              <w:widowControl/>
              <w:jc w:val="center"/>
              <w:rPr>
                <w:rFonts w:ascii="宋体" w:cs="宋体"/>
                <w:color w:val="000000"/>
                <w:kern w:val="0"/>
                <w:sz w:val="21"/>
                <w:szCs w:val="24"/>
              </w:rPr>
            </w:pPr>
            <w:r>
              <w:rPr>
                <w:rFonts w:hint="eastAsia" w:ascii="宋体" w:hAnsi="宋体" w:cs="宋体"/>
                <w:color w:val="000000"/>
                <w:kern w:val="0"/>
                <w:sz w:val="21"/>
                <w:szCs w:val="24"/>
              </w:rPr>
              <w:t>蒸发残留物</w:t>
            </w:r>
          </w:p>
        </w:tc>
        <w:tc>
          <w:tcPr>
            <w:tcW w:w="2938" w:type="dxa"/>
            <w:vMerge w:val="restart"/>
            <w:tcBorders>
              <w:top w:val="nil"/>
              <w:left w:val="single" w:color="auto" w:sz="8" w:space="0"/>
              <w:bottom w:val="single" w:color="000000" w:sz="8" w:space="0"/>
              <w:right w:val="single" w:color="auto" w:sz="8" w:space="0"/>
            </w:tcBorders>
            <w:noWrap w:val="0"/>
            <w:vAlign w:val="center"/>
          </w:tcPr>
          <w:p w14:paraId="7F9D8D4D">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S</w:t>
            </w:r>
            <w:r>
              <w:rPr>
                <w:rFonts w:hint="eastAsia" w:ascii="宋体" w:hAnsi="宋体" w:cs="宋体"/>
                <w:color w:val="000000"/>
                <w:kern w:val="0"/>
                <w:sz w:val="21"/>
                <w:szCs w:val="24"/>
              </w:rPr>
              <w:t>Y</w:t>
            </w:r>
            <w:r>
              <w:rPr>
                <w:rFonts w:ascii="宋体" w:hAnsi="宋体" w:cs="宋体"/>
                <w:color w:val="000000"/>
                <w:kern w:val="0"/>
                <w:sz w:val="21"/>
                <w:szCs w:val="24"/>
              </w:rPr>
              <w:t>/T 7509</w:t>
            </w:r>
          </w:p>
        </w:tc>
      </w:tr>
      <w:tr w14:paraId="4993181D">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67836737">
            <w:pPr>
              <w:widowControl/>
              <w:jc w:val="center"/>
              <w:rPr>
                <w:rFonts w:ascii="宋体" w:hAnsi="宋体" w:cs="宋体"/>
                <w:color w:val="000000"/>
                <w:kern w:val="0"/>
                <w:sz w:val="21"/>
                <w:szCs w:val="24"/>
              </w:rPr>
            </w:pPr>
            <w:r>
              <w:rPr>
                <w:rFonts w:ascii="宋体" w:hAnsi="宋体" w:cs="宋体"/>
                <w:color w:val="000000"/>
                <w:kern w:val="0"/>
                <w:sz w:val="21"/>
                <w:szCs w:val="24"/>
              </w:rPr>
              <w:t>8</w:t>
            </w:r>
          </w:p>
        </w:tc>
        <w:tc>
          <w:tcPr>
            <w:tcW w:w="1096" w:type="dxa"/>
            <w:vMerge w:val="continue"/>
            <w:tcBorders>
              <w:top w:val="nil"/>
              <w:left w:val="single" w:color="auto" w:sz="8" w:space="0"/>
              <w:bottom w:val="single" w:color="000000" w:sz="8" w:space="0"/>
              <w:right w:val="single" w:color="auto" w:sz="8" w:space="0"/>
            </w:tcBorders>
            <w:noWrap w:val="0"/>
            <w:vAlign w:val="center"/>
          </w:tcPr>
          <w:p w14:paraId="5B46143C">
            <w:pPr>
              <w:widowControl/>
              <w:jc w:val="center"/>
              <w:rPr>
                <w:rFonts w:ascii="宋体" w:cs="宋体"/>
                <w:color w:val="000000"/>
                <w:kern w:val="0"/>
                <w:sz w:val="21"/>
                <w:szCs w:val="24"/>
              </w:rPr>
            </w:pPr>
          </w:p>
        </w:tc>
        <w:tc>
          <w:tcPr>
            <w:tcW w:w="2400" w:type="dxa"/>
            <w:tcBorders>
              <w:top w:val="nil"/>
              <w:left w:val="nil"/>
              <w:bottom w:val="single" w:color="auto" w:sz="8" w:space="0"/>
              <w:right w:val="single" w:color="auto" w:sz="8" w:space="0"/>
            </w:tcBorders>
            <w:noWrap w:val="0"/>
            <w:vAlign w:val="center"/>
          </w:tcPr>
          <w:p w14:paraId="18A58459">
            <w:pPr>
              <w:widowControl/>
              <w:jc w:val="center"/>
              <w:rPr>
                <w:rFonts w:ascii="宋体" w:cs="宋体"/>
                <w:color w:val="000000"/>
                <w:kern w:val="0"/>
                <w:sz w:val="21"/>
                <w:szCs w:val="24"/>
              </w:rPr>
            </w:pPr>
            <w:r>
              <w:rPr>
                <w:rFonts w:hint="eastAsia" w:ascii="宋体" w:hAnsi="宋体" w:cs="宋体"/>
                <w:color w:val="000000"/>
                <w:kern w:val="0"/>
                <w:sz w:val="21"/>
                <w:szCs w:val="24"/>
              </w:rPr>
              <w:t>油渍观察</w:t>
            </w:r>
          </w:p>
        </w:tc>
        <w:tc>
          <w:tcPr>
            <w:tcW w:w="2938" w:type="dxa"/>
            <w:vMerge w:val="continue"/>
            <w:tcBorders>
              <w:top w:val="nil"/>
              <w:left w:val="single" w:color="auto" w:sz="8" w:space="0"/>
              <w:bottom w:val="single" w:color="000000" w:sz="8" w:space="0"/>
              <w:right w:val="single" w:color="auto" w:sz="8" w:space="0"/>
            </w:tcBorders>
            <w:noWrap w:val="0"/>
            <w:vAlign w:val="center"/>
          </w:tcPr>
          <w:p w14:paraId="57354764">
            <w:pPr>
              <w:widowControl/>
              <w:jc w:val="center"/>
              <w:rPr>
                <w:rFonts w:ascii="宋体" w:cs="宋体"/>
                <w:color w:val="000000"/>
                <w:kern w:val="0"/>
                <w:sz w:val="21"/>
                <w:szCs w:val="24"/>
              </w:rPr>
            </w:pPr>
          </w:p>
        </w:tc>
      </w:tr>
      <w:tr w14:paraId="62E28A95">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1E261B86">
            <w:pPr>
              <w:widowControl/>
              <w:jc w:val="center"/>
              <w:rPr>
                <w:rFonts w:ascii="宋体" w:hAnsi="宋体" w:cs="宋体"/>
                <w:color w:val="000000"/>
                <w:kern w:val="0"/>
                <w:sz w:val="21"/>
                <w:szCs w:val="24"/>
              </w:rPr>
            </w:pPr>
            <w:r>
              <w:rPr>
                <w:rFonts w:ascii="宋体" w:hAnsi="宋体" w:cs="宋体"/>
                <w:color w:val="000000"/>
                <w:kern w:val="0"/>
                <w:sz w:val="21"/>
                <w:szCs w:val="24"/>
              </w:rPr>
              <w:t>9</w:t>
            </w:r>
          </w:p>
        </w:tc>
        <w:tc>
          <w:tcPr>
            <w:tcW w:w="3496" w:type="dxa"/>
            <w:gridSpan w:val="2"/>
            <w:tcBorders>
              <w:top w:val="single" w:color="auto" w:sz="8" w:space="0"/>
              <w:left w:val="nil"/>
              <w:bottom w:val="single" w:color="auto" w:sz="8" w:space="0"/>
              <w:right w:val="single" w:color="000000" w:sz="8" w:space="0"/>
            </w:tcBorders>
            <w:noWrap w:val="0"/>
            <w:vAlign w:val="center"/>
          </w:tcPr>
          <w:p w14:paraId="2C39A5CA">
            <w:pPr>
              <w:widowControl/>
              <w:jc w:val="center"/>
              <w:rPr>
                <w:rFonts w:ascii="宋体" w:cs="宋体"/>
                <w:color w:val="000000"/>
                <w:kern w:val="0"/>
                <w:sz w:val="21"/>
                <w:szCs w:val="24"/>
              </w:rPr>
            </w:pPr>
            <w:r>
              <w:rPr>
                <w:rFonts w:hint="eastAsia" w:ascii="宋体" w:hAnsi="宋体" w:cs="宋体"/>
                <w:color w:val="000000"/>
                <w:kern w:val="0"/>
                <w:sz w:val="21"/>
                <w:szCs w:val="24"/>
              </w:rPr>
              <w:t>铜片腐蚀</w:t>
            </w:r>
          </w:p>
        </w:tc>
        <w:tc>
          <w:tcPr>
            <w:tcW w:w="2938" w:type="dxa"/>
            <w:tcBorders>
              <w:top w:val="nil"/>
              <w:left w:val="nil"/>
              <w:bottom w:val="single" w:color="auto" w:sz="8" w:space="0"/>
              <w:right w:val="single" w:color="auto" w:sz="8" w:space="0"/>
            </w:tcBorders>
            <w:noWrap w:val="0"/>
            <w:vAlign w:val="center"/>
          </w:tcPr>
          <w:p w14:paraId="443C1F93">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SH/T 0232</w:t>
            </w:r>
          </w:p>
        </w:tc>
      </w:tr>
      <w:tr w14:paraId="28359EAD">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5BE23BD0">
            <w:pPr>
              <w:widowControl/>
              <w:jc w:val="center"/>
              <w:rPr>
                <w:rFonts w:hint="eastAsia" w:ascii="宋体" w:hAnsi="宋体" w:eastAsia="宋体" w:cs="宋体"/>
                <w:color w:val="000000"/>
                <w:kern w:val="0"/>
                <w:sz w:val="21"/>
                <w:szCs w:val="24"/>
                <w:lang w:eastAsia="zh-CN"/>
              </w:rPr>
            </w:pPr>
            <w:r>
              <w:rPr>
                <w:rFonts w:ascii="宋体" w:hAnsi="宋体" w:cs="宋体"/>
                <w:color w:val="000000"/>
                <w:kern w:val="0"/>
                <w:sz w:val="21"/>
                <w:szCs w:val="24"/>
              </w:rPr>
              <w:t>1</w:t>
            </w:r>
            <w:r>
              <w:rPr>
                <w:rFonts w:hint="eastAsia" w:ascii="宋体" w:hAnsi="宋体" w:cs="宋体"/>
                <w:color w:val="000000"/>
                <w:kern w:val="0"/>
                <w:sz w:val="21"/>
                <w:szCs w:val="24"/>
                <w:lang w:val="en-US" w:eastAsia="zh-CN"/>
              </w:rPr>
              <w:t>0</w:t>
            </w:r>
          </w:p>
        </w:tc>
        <w:tc>
          <w:tcPr>
            <w:tcW w:w="3496" w:type="dxa"/>
            <w:gridSpan w:val="2"/>
            <w:tcBorders>
              <w:top w:val="nil"/>
              <w:left w:val="nil"/>
              <w:bottom w:val="single" w:color="auto" w:sz="8" w:space="0"/>
              <w:right w:val="single" w:color="auto" w:sz="8" w:space="0"/>
            </w:tcBorders>
            <w:noWrap w:val="0"/>
            <w:vAlign w:val="center"/>
          </w:tcPr>
          <w:p w14:paraId="4D48357B">
            <w:pPr>
              <w:widowControl/>
              <w:jc w:val="center"/>
              <w:rPr>
                <w:rFonts w:ascii="宋体" w:cs="宋体"/>
                <w:color w:val="000000"/>
                <w:kern w:val="0"/>
                <w:sz w:val="21"/>
                <w:szCs w:val="24"/>
              </w:rPr>
            </w:pPr>
            <w:r>
              <w:rPr>
                <w:rFonts w:hint="eastAsia" w:ascii="宋体" w:hAnsi="宋体" w:cs="宋体"/>
                <w:color w:val="000000"/>
                <w:kern w:val="0"/>
                <w:sz w:val="21"/>
                <w:szCs w:val="24"/>
              </w:rPr>
              <w:t>硫化氢</w:t>
            </w:r>
          </w:p>
        </w:tc>
        <w:tc>
          <w:tcPr>
            <w:tcW w:w="2938" w:type="dxa"/>
            <w:tcBorders>
              <w:top w:val="nil"/>
              <w:left w:val="nil"/>
              <w:bottom w:val="single" w:color="auto" w:sz="8" w:space="0"/>
              <w:right w:val="single" w:color="auto" w:sz="8" w:space="0"/>
            </w:tcBorders>
            <w:noWrap w:val="0"/>
            <w:vAlign w:val="center"/>
          </w:tcPr>
          <w:p w14:paraId="0D0E9619">
            <w:pPr>
              <w:widowControl/>
              <w:jc w:val="center"/>
              <w:rPr>
                <w:rFonts w:hint="default" w:ascii="宋体" w:hAnsi="宋体" w:eastAsia="宋体" w:cs="宋体"/>
                <w:color w:val="000000"/>
                <w:kern w:val="0"/>
                <w:sz w:val="21"/>
                <w:szCs w:val="24"/>
                <w:lang w:val="en-US" w:eastAsia="zh-CN"/>
              </w:rPr>
            </w:pPr>
            <w:r>
              <w:rPr>
                <w:rFonts w:ascii="宋体" w:hAnsi="宋体" w:cs="宋体"/>
                <w:color w:val="000000"/>
                <w:kern w:val="0"/>
                <w:sz w:val="21"/>
                <w:szCs w:val="24"/>
              </w:rPr>
              <w:t>SH/T 0125</w:t>
            </w:r>
          </w:p>
        </w:tc>
      </w:tr>
      <w:tr w14:paraId="6954F2EB">
        <w:tblPrEx>
          <w:tblCellMar>
            <w:top w:w="0" w:type="dxa"/>
            <w:left w:w="108" w:type="dxa"/>
            <w:bottom w:w="0" w:type="dxa"/>
            <w:right w:w="108" w:type="dxa"/>
          </w:tblCellMar>
        </w:tblPrEx>
        <w:trPr>
          <w:trHeight w:val="539" w:hRule="exact"/>
          <w:jc w:val="center"/>
        </w:trPr>
        <w:tc>
          <w:tcPr>
            <w:tcW w:w="1221" w:type="dxa"/>
            <w:tcBorders>
              <w:top w:val="nil"/>
              <w:left w:val="single" w:color="auto" w:sz="8" w:space="0"/>
              <w:bottom w:val="single" w:color="auto" w:sz="8" w:space="0"/>
              <w:right w:val="single" w:color="auto" w:sz="8" w:space="0"/>
            </w:tcBorders>
            <w:noWrap w:val="0"/>
            <w:vAlign w:val="center"/>
          </w:tcPr>
          <w:p w14:paraId="2D90B6D1">
            <w:pPr>
              <w:widowControl/>
              <w:jc w:val="center"/>
              <w:rPr>
                <w:rFonts w:hint="eastAsia" w:ascii="宋体" w:hAnsi="宋体" w:eastAsia="宋体" w:cs="宋体"/>
                <w:color w:val="000000"/>
                <w:kern w:val="0"/>
                <w:sz w:val="21"/>
                <w:szCs w:val="24"/>
                <w:lang w:eastAsia="zh-CN"/>
              </w:rPr>
            </w:pPr>
            <w:r>
              <w:rPr>
                <w:rFonts w:ascii="宋体" w:hAnsi="宋体" w:cs="宋体"/>
                <w:color w:val="000000"/>
                <w:kern w:val="0"/>
                <w:sz w:val="21"/>
                <w:szCs w:val="24"/>
              </w:rPr>
              <w:t>1</w:t>
            </w:r>
            <w:r>
              <w:rPr>
                <w:rFonts w:hint="eastAsia" w:ascii="宋体" w:hAnsi="宋体" w:cs="宋体"/>
                <w:color w:val="000000"/>
                <w:kern w:val="0"/>
                <w:sz w:val="21"/>
                <w:szCs w:val="24"/>
                <w:lang w:val="en-US" w:eastAsia="zh-CN"/>
              </w:rPr>
              <w:t>1</w:t>
            </w:r>
          </w:p>
        </w:tc>
        <w:tc>
          <w:tcPr>
            <w:tcW w:w="3496" w:type="dxa"/>
            <w:gridSpan w:val="2"/>
            <w:tcBorders>
              <w:top w:val="single" w:color="auto" w:sz="8" w:space="0"/>
              <w:left w:val="nil"/>
              <w:bottom w:val="single" w:color="auto" w:sz="8" w:space="0"/>
              <w:right w:val="single" w:color="000000" w:sz="8" w:space="0"/>
            </w:tcBorders>
            <w:noWrap w:val="0"/>
            <w:vAlign w:val="center"/>
          </w:tcPr>
          <w:p w14:paraId="29383CE1">
            <w:pPr>
              <w:widowControl/>
              <w:jc w:val="center"/>
              <w:rPr>
                <w:rFonts w:ascii="宋体" w:cs="宋体"/>
                <w:color w:val="000000"/>
                <w:kern w:val="0"/>
                <w:sz w:val="21"/>
                <w:szCs w:val="24"/>
              </w:rPr>
            </w:pPr>
            <w:r>
              <w:rPr>
                <w:rFonts w:hint="eastAsia" w:ascii="宋体" w:hAnsi="宋体" w:cs="宋体"/>
                <w:color w:val="000000"/>
                <w:kern w:val="0"/>
                <w:sz w:val="21"/>
                <w:szCs w:val="24"/>
              </w:rPr>
              <w:t>游离水</w:t>
            </w:r>
          </w:p>
        </w:tc>
        <w:tc>
          <w:tcPr>
            <w:tcW w:w="2938" w:type="dxa"/>
            <w:tcBorders>
              <w:top w:val="nil"/>
              <w:left w:val="nil"/>
              <w:bottom w:val="single" w:color="auto" w:sz="8" w:space="0"/>
              <w:right w:val="single" w:color="auto" w:sz="8" w:space="0"/>
            </w:tcBorders>
            <w:noWrap w:val="0"/>
            <w:vAlign w:val="center"/>
          </w:tcPr>
          <w:p w14:paraId="2CE70AF0">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 11174-2011</w:t>
            </w:r>
          </w:p>
        </w:tc>
      </w:tr>
      <w:tr w14:paraId="643E4AF1">
        <w:tblPrEx>
          <w:tblCellMar>
            <w:top w:w="0" w:type="dxa"/>
            <w:left w:w="108" w:type="dxa"/>
            <w:bottom w:w="0" w:type="dxa"/>
            <w:right w:w="108" w:type="dxa"/>
          </w:tblCellMar>
        </w:tblPrEx>
        <w:trPr>
          <w:trHeight w:val="663" w:hRule="exact"/>
          <w:jc w:val="center"/>
        </w:trPr>
        <w:tc>
          <w:tcPr>
            <w:tcW w:w="1221" w:type="dxa"/>
            <w:tcBorders>
              <w:top w:val="nil"/>
              <w:left w:val="single" w:color="auto" w:sz="8" w:space="0"/>
              <w:bottom w:val="single" w:color="auto" w:sz="8" w:space="0"/>
              <w:right w:val="single" w:color="auto" w:sz="8" w:space="0"/>
            </w:tcBorders>
            <w:noWrap w:val="0"/>
            <w:vAlign w:val="center"/>
          </w:tcPr>
          <w:p w14:paraId="11853B06">
            <w:pPr>
              <w:widowControl/>
              <w:jc w:val="center"/>
              <w:rPr>
                <w:rFonts w:hint="eastAsia" w:ascii="宋体" w:hAnsi="宋体" w:eastAsia="宋体" w:cs="宋体"/>
                <w:color w:val="000000"/>
                <w:kern w:val="0"/>
                <w:sz w:val="21"/>
                <w:szCs w:val="24"/>
                <w:lang w:eastAsia="zh-CN"/>
              </w:rPr>
            </w:pPr>
            <w:r>
              <w:rPr>
                <w:rFonts w:ascii="宋体" w:hAnsi="宋体" w:cs="宋体"/>
                <w:color w:val="000000"/>
                <w:kern w:val="0"/>
                <w:sz w:val="21"/>
                <w:szCs w:val="24"/>
              </w:rPr>
              <w:t>1</w:t>
            </w:r>
            <w:r>
              <w:rPr>
                <w:rFonts w:hint="eastAsia" w:ascii="宋体" w:hAnsi="宋体" w:cs="宋体"/>
                <w:color w:val="000000"/>
                <w:kern w:val="0"/>
                <w:sz w:val="21"/>
                <w:szCs w:val="24"/>
                <w:lang w:val="en-US" w:eastAsia="zh-CN"/>
              </w:rPr>
              <w:t>2</w:t>
            </w:r>
          </w:p>
        </w:tc>
        <w:tc>
          <w:tcPr>
            <w:tcW w:w="3496" w:type="dxa"/>
            <w:gridSpan w:val="2"/>
            <w:tcBorders>
              <w:top w:val="single" w:color="auto" w:sz="8" w:space="0"/>
              <w:left w:val="nil"/>
              <w:bottom w:val="single" w:color="auto" w:sz="8" w:space="0"/>
              <w:right w:val="single" w:color="000000" w:sz="8" w:space="0"/>
            </w:tcBorders>
            <w:noWrap w:val="0"/>
            <w:vAlign w:val="center"/>
          </w:tcPr>
          <w:p w14:paraId="6678976F">
            <w:pPr>
              <w:widowControl/>
              <w:jc w:val="center"/>
              <w:rPr>
                <w:rFonts w:ascii="宋体" w:cs="宋体"/>
                <w:color w:val="000000"/>
                <w:kern w:val="0"/>
                <w:sz w:val="21"/>
                <w:szCs w:val="24"/>
              </w:rPr>
            </w:pPr>
            <w:r>
              <w:rPr>
                <w:rFonts w:hint="eastAsia" w:ascii="宋体" w:hAnsi="宋体" w:cs="宋体"/>
                <w:color w:val="000000"/>
                <w:kern w:val="0"/>
                <w:sz w:val="21"/>
                <w:szCs w:val="24"/>
              </w:rPr>
              <w:t>二甲醚含量</w:t>
            </w:r>
          </w:p>
        </w:tc>
        <w:tc>
          <w:tcPr>
            <w:tcW w:w="2938" w:type="dxa"/>
            <w:tcBorders>
              <w:top w:val="nil"/>
              <w:left w:val="nil"/>
              <w:bottom w:val="single" w:color="auto" w:sz="8" w:space="0"/>
              <w:right w:val="single" w:color="auto" w:sz="8" w:space="0"/>
            </w:tcBorders>
            <w:noWrap w:val="0"/>
            <w:vAlign w:val="center"/>
          </w:tcPr>
          <w:p w14:paraId="36899F29">
            <w:pPr>
              <w:widowControl/>
              <w:jc w:val="center"/>
              <w:rPr>
                <w:rFonts w:ascii="宋体" w:hAnsi="宋体" w:cs="宋体"/>
                <w:color w:val="000000"/>
                <w:kern w:val="0"/>
                <w:sz w:val="21"/>
                <w:szCs w:val="24"/>
              </w:rPr>
            </w:pPr>
            <w:r>
              <w:rPr>
                <w:rFonts w:ascii="宋体" w:hAnsi="宋体" w:cs="宋体"/>
                <w:color w:val="000000"/>
                <w:kern w:val="0"/>
                <w:sz w:val="21"/>
                <w:szCs w:val="24"/>
              </w:rPr>
              <w:t>GB/T 32492</w:t>
            </w:r>
          </w:p>
        </w:tc>
      </w:tr>
    </w:tbl>
    <w:p w14:paraId="7C322EA0">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17CD4448">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7606726C">
      <w:pPr>
        <w:spacing w:beforeLines="50" w:line="360" w:lineRule="auto"/>
        <w:rPr>
          <w:rFonts w:eastAsia="黑体"/>
          <w:color w:val="000000"/>
          <w:szCs w:val="21"/>
        </w:rPr>
      </w:pPr>
      <w:r>
        <w:rPr>
          <w:rFonts w:eastAsia="黑体"/>
          <w:color w:val="000000"/>
          <w:szCs w:val="21"/>
        </w:rPr>
        <w:t>3 判定规则</w:t>
      </w:r>
    </w:p>
    <w:p w14:paraId="51EBA14A">
      <w:pPr>
        <w:snapToGrid w:val="0"/>
        <w:spacing w:line="440" w:lineRule="exact"/>
        <w:rPr>
          <w:color w:val="000000"/>
          <w:szCs w:val="21"/>
        </w:rPr>
      </w:pPr>
      <w:r>
        <w:rPr>
          <w:color w:val="000000"/>
          <w:szCs w:val="21"/>
        </w:rPr>
        <w:t>3.1依据标准</w:t>
      </w:r>
    </w:p>
    <w:p w14:paraId="49303B9B">
      <w:pPr>
        <w:spacing w:line="440" w:lineRule="exact"/>
        <w:ind w:firstLine="420" w:firstLineChars="200"/>
        <w:rPr>
          <w:snapToGrid w:val="0"/>
        </w:rPr>
      </w:pPr>
      <w:bookmarkStart w:id="0" w:name="_Hlk32567754"/>
      <w:r>
        <w:rPr>
          <w:rFonts w:ascii="宋体" w:hAnsi="宋体" w:cs="宋体"/>
        </w:rPr>
        <w:t>GB 11174</w:t>
      </w:r>
      <w:r>
        <w:rPr>
          <w:rFonts w:hint="eastAsia" w:ascii="宋体" w:hAnsi="宋体" w:cs="宋体"/>
        </w:rPr>
        <w:t>-2011</w:t>
      </w:r>
      <w:r>
        <w:rPr>
          <w:rFonts w:ascii="宋体" w:hAnsi="宋体" w:cs="宋体"/>
        </w:rPr>
        <w:t xml:space="preserve"> </w:t>
      </w:r>
      <w:r>
        <w:rPr>
          <w:rFonts w:hint="eastAsia" w:ascii="宋体" w:hAnsi="宋体" w:cs="宋体"/>
        </w:rPr>
        <w:t>液化石油气</w:t>
      </w:r>
    </w:p>
    <w:bookmarkEnd w:id="0"/>
    <w:p w14:paraId="304332FD">
      <w:pPr>
        <w:snapToGrid w:val="0"/>
        <w:spacing w:line="440" w:lineRule="exact"/>
        <w:ind w:firstLine="420" w:firstLineChars="200"/>
        <w:rPr>
          <w:color w:val="auto"/>
          <w:szCs w:val="21"/>
        </w:rPr>
      </w:pPr>
      <w:r>
        <w:rPr>
          <w:color w:val="auto"/>
          <w:szCs w:val="21"/>
        </w:rPr>
        <w:t>现行有效的企业标准、团体标准、</w:t>
      </w:r>
      <w:bookmarkStart w:id="1" w:name="_GoBack"/>
      <w:bookmarkEnd w:id="1"/>
      <w:r>
        <w:rPr>
          <w:color w:val="auto"/>
          <w:szCs w:val="21"/>
        </w:rPr>
        <w:t>地方标准及产品明示质量要求</w:t>
      </w:r>
    </w:p>
    <w:p w14:paraId="680025DF">
      <w:pPr>
        <w:snapToGrid w:val="0"/>
        <w:spacing w:line="440" w:lineRule="exact"/>
        <w:rPr>
          <w:color w:val="000000"/>
          <w:szCs w:val="21"/>
        </w:rPr>
      </w:pPr>
      <w:r>
        <w:rPr>
          <w:color w:val="000000"/>
          <w:szCs w:val="21"/>
        </w:rPr>
        <w:t>3.2判定原则</w:t>
      </w:r>
    </w:p>
    <w:p w14:paraId="209796D6">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68F9A6CD">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0042CE6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26CCE85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2878723A">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76B9B13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C6B54AE">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4BC7BD7C">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11663A50">
      <w:pPr>
        <w:numPr>
          <w:ilvl w:val="0"/>
          <w:numId w:val="0"/>
        </w:numPr>
        <w:snapToGrid w:val="0"/>
        <w:spacing w:line="440" w:lineRule="exact"/>
        <w:rPr>
          <w:rFonts w:hint="default"/>
          <w:color w:val="FF0000"/>
          <w:szCs w:val="21"/>
          <w:lang w:val="en-US" w:eastAsia="zh-CN"/>
        </w:rPr>
      </w:pPr>
    </w:p>
    <w:p w14:paraId="626D34D5">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EBC6">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7FA04809">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F30F2">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9234C9E"/>
    <w:rsid w:val="0BF3562B"/>
    <w:rsid w:val="11473DDB"/>
    <w:rsid w:val="12BB79C9"/>
    <w:rsid w:val="1A784B4A"/>
    <w:rsid w:val="1B9113EA"/>
    <w:rsid w:val="22096B18"/>
    <w:rsid w:val="2E7528CD"/>
    <w:rsid w:val="2E9760D2"/>
    <w:rsid w:val="38133FCB"/>
    <w:rsid w:val="49DB79B2"/>
    <w:rsid w:val="569128B3"/>
    <w:rsid w:val="575527A0"/>
    <w:rsid w:val="636B2161"/>
    <w:rsid w:val="637B4DE8"/>
    <w:rsid w:val="647FE99D"/>
    <w:rsid w:val="6C511FF2"/>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735</Words>
  <Characters>879</Characters>
  <Lines>6</Lines>
  <Paragraphs>1</Paragraphs>
  <TotalTime>0</TotalTime>
  <ScaleCrop>false</ScaleCrop>
  <LinksUpToDate>false</LinksUpToDate>
  <CharactersWithSpaces>896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2026-03-25T06:56:10Z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