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96C65">
      <w:pPr>
        <w:keepNext w:val="0"/>
        <w:keepLines w:val="0"/>
        <w:pageBreakBefore w:val="0"/>
        <w:widowControl w:val="0"/>
        <w:kinsoku/>
        <w:wordWrap/>
        <w:overflowPunct/>
        <w:topLinePunct w:val="0"/>
        <w:autoSpaceDE/>
        <w:autoSpaceDN/>
        <w:bidi w:val="0"/>
        <w:adjustRightInd/>
        <w:snapToGrid w:val="0"/>
        <w:spacing w:line="520" w:lineRule="exact"/>
        <w:ind w:firstLine="547" w:firstLineChars="171"/>
        <w:jc w:val="center"/>
        <w:textAlignment w:val="auto"/>
        <w:rPr>
          <w:rFonts w:hint="eastAsia" w:ascii="方正小标宋简体" w:hAnsi="方正小标宋简体" w:eastAsia="方正小标宋简体" w:cs="方正小标宋简体"/>
          <w:color w:val="auto"/>
          <w:kern w:val="2"/>
          <w:sz w:val="32"/>
          <w:szCs w:val="32"/>
        </w:rPr>
      </w:pPr>
      <w:r>
        <w:rPr>
          <w:rFonts w:hint="eastAsia" w:ascii="方正小标宋简体" w:hAnsi="方正小标宋简体" w:eastAsia="方正小标宋简体" w:cs="方正小标宋简体"/>
          <w:color w:val="auto"/>
          <w:kern w:val="2"/>
          <w:sz w:val="32"/>
          <w:szCs w:val="32"/>
          <w:lang w:val="en-US" w:eastAsia="zh-CN"/>
        </w:rPr>
        <w:t>六安市工业氢</w:t>
      </w:r>
      <w:r>
        <w:rPr>
          <w:rFonts w:hint="eastAsia" w:ascii="方正小标宋简体" w:hAnsi="方正小标宋简体" w:eastAsia="方正小标宋简体" w:cs="方正小标宋简体"/>
          <w:color w:val="auto"/>
          <w:kern w:val="2"/>
          <w:sz w:val="32"/>
          <w:szCs w:val="32"/>
        </w:rPr>
        <w:t>产品质量监督抽查实施细则</w:t>
      </w:r>
    </w:p>
    <w:p w14:paraId="246CBBF7">
      <w:pPr>
        <w:snapToGrid w:val="0"/>
        <w:spacing w:line="440" w:lineRule="exact"/>
        <w:rPr>
          <w:rFonts w:eastAsia="黑体"/>
          <w:color w:val="000000"/>
          <w:szCs w:val="21"/>
        </w:rPr>
      </w:pPr>
      <w:r>
        <w:rPr>
          <w:rFonts w:eastAsia="黑体"/>
          <w:color w:val="000000"/>
          <w:szCs w:val="21"/>
        </w:rPr>
        <w:t>1 抽样方法</w:t>
      </w:r>
    </w:p>
    <w:p w14:paraId="58C33094">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以随机抽样的方式在被抽样生产者、销售者的待销产品中抽取。</w:t>
      </w:r>
    </w:p>
    <w:p w14:paraId="6F166E60">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随机数一般可使用随机数表等方法产生。</w:t>
      </w:r>
    </w:p>
    <w:p w14:paraId="68451C87">
      <w:pPr>
        <w:keepNext w:val="0"/>
        <w:keepLines w:val="0"/>
        <w:pageBreakBefore w:val="0"/>
        <w:widowControl w:val="0"/>
        <w:kinsoku/>
        <w:wordWrap/>
        <w:overflowPunct/>
        <w:topLinePunct w:val="0"/>
        <w:autoSpaceDE/>
        <w:autoSpaceDN/>
        <w:bidi w:val="0"/>
        <w:adjustRightInd/>
        <w:snapToGrid w:val="0"/>
        <w:spacing w:line="440" w:lineRule="exact"/>
        <w:ind w:left="420" w:leftChars="200" w:firstLine="0" w:firstLineChars="0"/>
        <w:textAlignment w:val="auto"/>
        <w:rPr>
          <w:rFonts w:hint="eastAsia" w:ascii="宋体" w:hAnsi="宋体" w:cs="宋体"/>
        </w:rPr>
      </w:pPr>
      <w:r>
        <w:rPr>
          <w:rFonts w:hint="eastAsia" w:ascii="宋体" w:hAnsi="宋体"/>
          <w:color w:val="000000"/>
        </w:rPr>
        <w:t>抽取样品应为同一型号规格、同一批次的产品</w:t>
      </w:r>
      <w:r>
        <w:rPr>
          <w:rFonts w:hint="eastAsia" w:ascii="宋体" w:hAnsi="宋体" w:cs="宋体"/>
        </w:rPr>
        <w:t>，</w:t>
      </w:r>
      <w:r>
        <w:rPr>
          <w:rFonts w:hint="eastAsia" w:ascii="宋体" w:hAnsi="宋体" w:cs="宋体"/>
          <w:lang w:val="en-US" w:eastAsia="zh-CN"/>
        </w:rPr>
        <w:t>按产品标准所示抽样量进行抽样（即表1）</w:t>
      </w:r>
      <w:r>
        <w:rPr>
          <w:rFonts w:hint="eastAsia" w:ascii="宋体" w:hAnsi="宋体" w:cs="宋体"/>
        </w:rPr>
        <w:t>，一份作为检验样品，一份作为备用样品。样品全部带回承检机构。抽查样品基数满足抽样数量即可。</w:t>
      </w:r>
    </w:p>
    <w:p w14:paraId="1E10F2A7">
      <w:pPr>
        <w:keepNext w:val="0"/>
        <w:keepLines w:val="0"/>
        <w:pageBreakBefore w:val="0"/>
        <w:widowControl w:val="0"/>
        <w:kinsoku/>
        <w:wordWrap/>
        <w:overflowPunct/>
        <w:topLinePunct w:val="0"/>
        <w:autoSpaceDE/>
        <w:autoSpaceDN/>
        <w:bidi w:val="0"/>
        <w:adjustRightInd/>
        <w:snapToGrid w:val="0"/>
        <w:spacing w:line="440" w:lineRule="exact"/>
        <w:ind w:left="420" w:leftChars="200" w:firstLine="0" w:firstLineChars="0"/>
        <w:jc w:val="center"/>
        <w:textAlignment w:val="auto"/>
        <w:rPr>
          <w:rFonts w:hint="default" w:ascii="宋体" w:hAnsi="宋体" w:cs="宋体"/>
          <w:lang w:val="en-US" w:eastAsia="zh-CN"/>
        </w:rPr>
      </w:pPr>
      <w:r>
        <w:rPr>
          <w:rFonts w:hint="eastAsia" w:ascii="宋体" w:hAnsi="宋体" w:cs="宋体"/>
          <w:lang w:val="en-US" w:eastAsia="zh-CN"/>
        </w:rPr>
        <w:t>表1 瓶装或集装格装工业氢抽样表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529"/>
        <w:gridCol w:w="1529"/>
        <w:gridCol w:w="1529"/>
        <w:gridCol w:w="1529"/>
        <w:gridCol w:w="1529"/>
        <w:gridCol w:w="1529"/>
      </w:tblGrid>
      <w:tr w14:paraId="71455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29" w:type="dxa"/>
          </w:tcPr>
          <w:p w14:paraId="42871E13">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default" w:ascii="宋体" w:hAnsi="宋体" w:cs="宋体"/>
                <w:vertAlign w:val="baseline"/>
                <w:lang w:val="en-US" w:eastAsia="zh-CN"/>
              </w:rPr>
            </w:pPr>
            <w:r>
              <w:rPr>
                <w:rFonts w:hint="eastAsia" w:ascii="宋体" w:hAnsi="宋体" w:cs="宋体"/>
                <w:vertAlign w:val="baseline"/>
                <w:lang w:val="en-US" w:eastAsia="zh-CN"/>
              </w:rPr>
              <w:t>每批产品气瓶数或格数</w:t>
            </w:r>
          </w:p>
        </w:tc>
        <w:tc>
          <w:tcPr>
            <w:tcW w:w="1529" w:type="dxa"/>
            <w:vAlign w:val="center"/>
          </w:tcPr>
          <w:p w14:paraId="5F0A7921">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default" w:ascii="宋体" w:hAnsi="宋体" w:cs="宋体"/>
                <w:vertAlign w:val="baseline"/>
                <w:lang w:val="en-US" w:eastAsia="zh-CN"/>
              </w:rPr>
            </w:pPr>
            <w:r>
              <w:rPr>
                <w:rFonts w:hint="eastAsia" w:ascii="宋体" w:hAnsi="宋体" w:cs="宋体"/>
                <w:vertAlign w:val="baseline"/>
                <w:lang w:val="en-US" w:eastAsia="zh-CN"/>
              </w:rPr>
              <w:t>1</w:t>
            </w:r>
          </w:p>
        </w:tc>
        <w:tc>
          <w:tcPr>
            <w:tcW w:w="1529" w:type="dxa"/>
            <w:vAlign w:val="center"/>
          </w:tcPr>
          <w:p w14:paraId="57788B48">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default" w:ascii="宋体" w:hAnsi="宋体" w:cs="宋体"/>
                <w:vertAlign w:val="baseline"/>
                <w:lang w:val="en-US" w:eastAsia="zh-CN"/>
              </w:rPr>
            </w:pPr>
            <w:r>
              <w:rPr>
                <w:rFonts w:hint="eastAsia" w:ascii="宋体" w:hAnsi="宋体" w:cs="宋体"/>
                <w:vertAlign w:val="baseline"/>
                <w:lang w:val="en-US" w:eastAsia="zh-CN"/>
              </w:rPr>
              <w:t>2</w:t>
            </w:r>
          </w:p>
        </w:tc>
        <w:tc>
          <w:tcPr>
            <w:tcW w:w="1529" w:type="dxa"/>
            <w:vAlign w:val="center"/>
          </w:tcPr>
          <w:p w14:paraId="663CA30B">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default" w:ascii="宋体" w:hAnsi="宋体" w:cs="宋体"/>
                <w:vertAlign w:val="baseline"/>
                <w:lang w:val="en-US" w:eastAsia="zh-CN"/>
              </w:rPr>
            </w:pPr>
            <w:r>
              <w:rPr>
                <w:rFonts w:hint="eastAsia" w:ascii="宋体" w:hAnsi="宋体" w:cs="宋体"/>
                <w:vertAlign w:val="baseline"/>
                <w:lang w:val="en-US" w:eastAsia="zh-CN"/>
              </w:rPr>
              <w:t>3</w:t>
            </w:r>
            <w:r>
              <w:rPr>
                <w:rFonts w:hint="eastAsia" w:ascii="宋体" w:hAnsi="宋体" w:eastAsia="宋体" w:cs="宋体"/>
                <w:vertAlign w:val="baseline"/>
                <w:lang w:val="en-US" w:eastAsia="zh-CN"/>
              </w:rPr>
              <w:t>～</w:t>
            </w:r>
            <w:r>
              <w:rPr>
                <w:rFonts w:hint="eastAsia" w:ascii="宋体" w:hAnsi="宋体" w:cs="宋体"/>
                <w:vertAlign w:val="baseline"/>
                <w:lang w:val="en-US" w:eastAsia="zh-CN"/>
              </w:rPr>
              <w:t>100</w:t>
            </w:r>
          </w:p>
        </w:tc>
        <w:tc>
          <w:tcPr>
            <w:tcW w:w="1529" w:type="dxa"/>
            <w:vAlign w:val="center"/>
          </w:tcPr>
          <w:p w14:paraId="38836367">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default" w:ascii="宋体" w:hAnsi="宋体" w:cs="宋体"/>
                <w:vertAlign w:val="baseline"/>
                <w:lang w:val="en-US" w:eastAsia="zh-CN"/>
              </w:rPr>
            </w:pPr>
            <w:r>
              <w:rPr>
                <w:rFonts w:hint="eastAsia" w:ascii="宋体" w:hAnsi="宋体" w:cs="宋体"/>
                <w:vertAlign w:val="baseline"/>
                <w:lang w:val="en-US" w:eastAsia="zh-CN"/>
              </w:rPr>
              <w:t>101</w:t>
            </w:r>
            <w:r>
              <w:rPr>
                <w:rFonts w:hint="eastAsia" w:ascii="宋体" w:hAnsi="宋体" w:eastAsia="宋体" w:cs="宋体"/>
                <w:vertAlign w:val="baseline"/>
                <w:lang w:val="en-US" w:eastAsia="zh-CN"/>
              </w:rPr>
              <w:t>～</w:t>
            </w:r>
            <w:r>
              <w:rPr>
                <w:rFonts w:hint="eastAsia" w:ascii="宋体" w:hAnsi="宋体" w:cs="宋体"/>
                <w:vertAlign w:val="baseline"/>
                <w:lang w:val="en-US" w:eastAsia="zh-CN"/>
              </w:rPr>
              <w:t>500</w:t>
            </w:r>
          </w:p>
        </w:tc>
        <w:tc>
          <w:tcPr>
            <w:tcW w:w="1529" w:type="dxa"/>
            <w:vAlign w:val="center"/>
          </w:tcPr>
          <w:p w14:paraId="0C308EDF">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default" w:ascii="宋体" w:hAnsi="宋体" w:cs="宋体"/>
                <w:vertAlign w:val="baseline"/>
                <w:lang w:val="en-US" w:eastAsia="zh-CN"/>
              </w:rPr>
            </w:pPr>
            <w:r>
              <w:rPr>
                <w:rFonts w:hint="eastAsia" w:ascii="宋体" w:hAnsi="宋体" w:cs="宋体"/>
                <w:vertAlign w:val="baseline"/>
                <w:lang w:val="en-US" w:eastAsia="zh-CN"/>
              </w:rPr>
              <w:t>＞500</w:t>
            </w:r>
          </w:p>
        </w:tc>
      </w:tr>
      <w:tr w14:paraId="117F7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29" w:type="dxa"/>
          </w:tcPr>
          <w:p w14:paraId="695271A8">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default" w:ascii="宋体" w:hAnsi="宋体" w:cs="宋体"/>
                <w:vertAlign w:val="baseline"/>
                <w:lang w:val="en-US" w:eastAsia="zh-CN"/>
              </w:rPr>
            </w:pPr>
            <w:r>
              <w:rPr>
                <w:rFonts w:hint="eastAsia" w:ascii="宋体" w:hAnsi="宋体" w:cs="宋体"/>
                <w:vertAlign w:val="baseline"/>
                <w:lang w:val="en-US" w:eastAsia="zh-CN"/>
              </w:rPr>
              <w:t>每批最少抽样气瓶数或格数</w:t>
            </w:r>
          </w:p>
        </w:tc>
        <w:tc>
          <w:tcPr>
            <w:tcW w:w="1529" w:type="dxa"/>
            <w:vAlign w:val="center"/>
          </w:tcPr>
          <w:p w14:paraId="06220B81">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default" w:ascii="宋体" w:hAnsi="宋体" w:cs="宋体"/>
                <w:vertAlign w:val="baseline"/>
                <w:lang w:val="en-US" w:eastAsia="zh-CN"/>
              </w:rPr>
            </w:pPr>
            <w:r>
              <w:rPr>
                <w:rFonts w:hint="eastAsia" w:ascii="宋体" w:hAnsi="宋体" w:cs="宋体"/>
                <w:vertAlign w:val="baseline"/>
                <w:lang w:val="en-US" w:eastAsia="zh-CN"/>
              </w:rPr>
              <w:t>1</w:t>
            </w:r>
          </w:p>
        </w:tc>
        <w:tc>
          <w:tcPr>
            <w:tcW w:w="1529" w:type="dxa"/>
            <w:vAlign w:val="center"/>
          </w:tcPr>
          <w:p w14:paraId="1580D3F5">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default" w:ascii="宋体" w:hAnsi="宋体" w:cs="宋体"/>
                <w:vertAlign w:val="baseline"/>
                <w:lang w:val="en-US" w:eastAsia="zh-CN"/>
              </w:rPr>
            </w:pPr>
            <w:r>
              <w:rPr>
                <w:rFonts w:hint="eastAsia" w:ascii="宋体" w:hAnsi="宋体" w:cs="宋体"/>
                <w:vertAlign w:val="baseline"/>
                <w:lang w:val="en-US" w:eastAsia="zh-CN"/>
              </w:rPr>
              <w:t>2</w:t>
            </w:r>
          </w:p>
        </w:tc>
        <w:tc>
          <w:tcPr>
            <w:tcW w:w="1529" w:type="dxa"/>
            <w:vAlign w:val="center"/>
          </w:tcPr>
          <w:p w14:paraId="17D08106">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default" w:ascii="宋体" w:hAnsi="宋体" w:cs="宋体"/>
                <w:vertAlign w:val="baseline"/>
                <w:lang w:val="en-US" w:eastAsia="zh-CN"/>
              </w:rPr>
            </w:pPr>
            <w:r>
              <w:rPr>
                <w:rFonts w:hint="eastAsia" w:ascii="宋体" w:hAnsi="宋体" w:cs="宋体"/>
                <w:vertAlign w:val="baseline"/>
                <w:lang w:val="en-US" w:eastAsia="zh-CN"/>
              </w:rPr>
              <w:t>3</w:t>
            </w:r>
          </w:p>
        </w:tc>
        <w:tc>
          <w:tcPr>
            <w:tcW w:w="1529" w:type="dxa"/>
            <w:vAlign w:val="center"/>
          </w:tcPr>
          <w:p w14:paraId="0EE6868B">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default" w:ascii="宋体" w:hAnsi="宋体" w:cs="宋体"/>
                <w:vertAlign w:val="baseline"/>
                <w:lang w:val="en-US" w:eastAsia="zh-CN"/>
              </w:rPr>
            </w:pPr>
            <w:r>
              <w:rPr>
                <w:rFonts w:hint="eastAsia" w:ascii="宋体" w:hAnsi="宋体" w:cs="宋体"/>
                <w:vertAlign w:val="baseline"/>
                <w:lang w:val="en-US" w:eastAsia="zh-CN"/>
              </w:rPr>
              <w:t>5</w:t>
            </w:r>
          </w:p>
        </w:tc>
        <w:tc>
          <w:tcPr>
            <w:tcW w:w="1529" w:type="dxa"/>
            <w:vAlign w:val="center"/>
          </w:tcPr>
          <w:p w14:paraId="4B1E9B8C">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default" w:ascii="宋体" w:hAnsi="宋体" w:cs="宋体"/>
                <w:vertAlign w:val="baseline"/>
                <w:lang w:val="en-US" w:eastAsia="zh-CN"/>
              </w:rPr>
            </w:pPr>
            <w:r>
              <w:rPr>
                <w:rFonts w:hint="eastAsia" w:ascii="宋体" w:hAnsi="宋体" w:cs="宋体"/>
                <w:vertAlign w:val="baseline"/>
                <w:lang w:val="en-US" w:eastAsia="zh-CN"/>
              </w:rPr>
              <w:t>10</w:t>
            </w:r>
          </w:p>
        </w:tc>
      </w:tr>
    </w:tbl>
    <w:p w14:paraId="026BF36C">
      <w:pPr>
        <w:keepNext w:val="0"/>
        <w:keepLines w:val="0"/>
        <w:pageBreakBefore w:val="0"/>
        <w:widowControl w:val="0"/>
        <w:kinsoku/>
        <w:wordWrap/>
        <w:overflowPunct/>
        <w:topLinePunct w:val="0"/>
        <w:autoSpaceDE/>
        <w:autoSpaceDN/>
        <w:bidi w:val="0"/>
        <w:adjustRightInd/>
        <w:snapToGrid w:val="0"/>
        <w:spacing w:line="440" w:lineRule="exact"/>
        <w:ind w:left="420" w:leftChars="200" w:firstLine="0" w:firstLineChars="0"/>
        <w:textAlignment w:val="auto"/>
        <w:rPr>
          <w:rFonts w:hint="default" w:ascii="宋体" w:hAnsi="宋体" w:cs="宋体"/>
          <w:lang w:val="en-US" w:eastAsia="zh-CN"/>
        </w:rPr>
      </w:pPr>
    </w:p>
    <w:p w14:paraId="13E397D2">
      <w:pPr>
        <w:snapToGrid w:val="0"/>
        <w:spacing w:line="440" w:lineRule="exact"/>
        <w:ind w:firstLine="420" w:firstLineChars="200"/>
        <w:rPr>
          <w:color w:val="000000"/>
          <w:szCs w:val="21"/>
        </w:rPr>
      </w:pPr>
    </w:p>
    <w:p w14:paraId="444F254C">
      <w:pPr>
        <w:snapToGrid w:val="0"/>
        <w:spacing w:line="440" w:lineRule="exact"/>
        <w:rPr>
          <w:rFonts w:eastAsia="黑体"/>
          <w:color w:val="000000"/>
          <w:szCs w:val="21"/>
        </w:rPr>
      </w:pPr>
      <w:r>
        <w:rPr>
          <w:rFonts w:eastAsia="黑体"/>
          <w:color w:val="000000"/>
          <w:szCs w:val="21"/>
        </w:rPr>
        <w:t>2 检验依据</w:t>
      </w:r>
    </w:p>
    <w:p w14:paraId="23E58F6B">
      <w:pPr>
        <w:adjustRightInd w:val="0"/>
        <w:snapToGrid w:val="0"/>
        <w:spacing w:line="440" w:lineRule="exact"/>
        <w:ind w:firstLine="3570" w:firstLineChars="1700"/>
        <w:rPr>
          <w:rFonts w:hint="default" w:ascii="Times New Roman" w:hAnsi="Times New Roman" w:cs="Times New Roman"/>
          <w:color w:val="000000"/>
          <w:lang w:val="en-US" w:eastAsia="zh-CN"/>
        </w:rPr>
      </w:pPr>
      <w:bookmarkStart w:id="1" w:name="_GoBack"/>
      <w:bookmarkEnd w:id="1"/>
      <w:r>
        <w:rPr>
          <w:rFonts w:hint="eastAsia" w:ascii="Times New Roman" w:hAnsi="Times New Roman" w:cs="Times New Roman"/>
          <w:color w:val="000000"/>
          <w:lang w:val="en-US" w:eastAsia="zh-CN"/>
        </w:rPr>
        <w:t>表</w:t>
      </w:r>
      <w:r>
        <w:rPr>
          <w:rFonts w:hint="eastAsia" w:cs="Times New Roman"/>
          <w:color w:val="000000"/>
          <w:lang w:val="en-US" w:eastAsia="zh-CN"/>
        </w:rPr>
        <w:t>2</w:t>
      </w:r>
      <w:r>
        <w:rPr>
          <w:rFonts w:hint="eastAsia" w:ascii="Times New Roman" w:hAnsi="Times New Roman" w:cs="Times New Roman"/>
          <w:color w:val="000000"/>
          <w:lang w:val="en-US" w:eastAsia="zh-CN"/>
        </w:rPr>
        <w:t xml:space="preserve"> 工业</w:t>
      </w:r>
      <w:r>
        <w:rPr>
          <w:rFonts w:hint="eastAsia" w:cs="Times New Roman"/>
          <w:color w:val="000000"/>
          <w:lang w:val="en-US" w:eastAsia="zh-CN"/>
        </w:rPr>
        <w:t>氢</w:t>
      </w:r>
    </w:p>
    <w:tbl>
      <w:tblPr>
        <w:tblStyle w:val="8"/>
        <w:tblW w:w="4172" w:type="pct"/>
        <w:jc w:val="center"/>
        <w:tblLayout w:type="autofit"/>
        <w:tblCellMar>
          <w:top w:w="0" w:type="dxa"/>
          <w:left w:w="108" w:type="dxa"/>
          <w:bottom w:w="0" w:type="dxa"/>
          <w:right w:w="108" w:type="dxa"/>
        </w:tblCellMar>
      </w:tblPr>
      <w:tblGrid>
        <w:gridCol w:w="1221"/>
        <w:gridCol w:w="3496"/>
        <w:gridCol w:w="2938"/>
      </w:tblGrid>
      <w:tr w14:paraId="7903B159">
        <w:tblPrEx>
          <w:tblCellMar>
            <w:top w:w="0" w:type="dxa"/>
            <w:left w:w="108" w:type="dxa"/>
            <w:bottom w:w="0" w:type="dxa"/>
            <w:right w:w="108" w:type="dxa"/>
          </w:tblCellMar>
        </w:tblPrEx>
        <w:trPr>
          <w:trHeight w:val="539" w:hRule="exact"/>
          <w:jc w:val="center"/>
        </w:trPr>
        <w:tc>
          <w:tcPr>
            <w:tcW w:w="1221" w:type="dxa"/>
            <w:vMerge w:val="restart"/>
            <w:tcBorders>
              <w:top w:val="single" w:color="auto" w:sz="8" w:space="0"/>
              <w:left w:val="single" w:color="auto" w:sz="8" w:space="0"/>
              <w:bottom w:val="single" w:color="000000" w:sz="8" w:space="0"/>
              <w:right w:val="single" w:color="auto" w:sz="8" w:space="0"/>
            </w:tcBorders>
            <w:noWrap w:val="0"/>
            <w:vAlign w:val="center"/>
          </w:tcPr>
          <w:p w14:paraId="2947B1D9">
            <w:pPr>
              <w:widowControl/>
              <w:jc w:val="center"/>
              <w:rPr>
                <w:rFonts w:ascii="宋体" w:cs="宋体"/>
                <w:color w:val="000000"/>
                <w:kern w:val="0"/>
                <w:sz w:val="21"/>
                <w:szCs w:val="24"/>
              </w:rPr>
            </w:pPr>
            <w:r>
              <w:rPr>
                <w:rFonts w:hint="eastAsia" w:ascii="宋体" w:hAnsi="宋体" w:cs="宋体"/>
                <w:color w:val="000000"/>
                <w:kern w:val="0"/>
                <w:sz w:val="21"/>
                <w:szCs w:val="24"/>
              </w:rPr>
              <w:t>序号</w:t>
            </w:r>
          </w:p>
        </w:tc>
        <w:tc>
          <w:tcPr>
            <w:tcW w:w="3496" w:type="dxa"/>
            <w:vMerge w:val="restart"/>
            <w:tcBorders>
              <w:top w:val="single" w:color="auto" w:sz="8" w:space="0"/>
              <w:left w:val="single" w:color="auto" w:sz="8" w:space="0"/>
              <w:bottom w:val="single" w:color="000000" w:sz="8" w:space="0"/>
              <w:right w:val="single" w:color="000000" w:sz="8" w:space="0"/>
            </w:tcBorders>
            <w:noWrap w:val="0"/>
            <w:vAlign w:val="center"/>
          </w:tcPr>
          <w:p w14:paraId="3D6D5C11">
            <w:pPr>
              <w:widowControl/>
              <w:jc w:val="center"/>
              <w:rPr>
                <w:rFonts w:ascii="宋体" w:cs="宋体"/>
                <w:color w:val="000000"/>
                <w:kern w:val="0"/>
                <w:sz w:val="21"/>
                <w:szCs w:val="24"/>
              </w:rPr>
            </w:pPr>
            <w:r>
              <w:rPr>
                <w:rFonts w:hint="eastAsia" w:ascii="宋体" w:hAnsi="宋体" w:cs="宋体"/>
                <w:color w:val="000000"/>
                <w:kern w:val="0"/>
                <w:sz w:val="21"/>
                <w:szCs w:val="24"/>
              </w:rPr>
              <w:t>检验项目</w:t>
            </w:r>
          </w:p>
        </w:tc>
        <w:tc>
          <w:tcPr>
            <w:tcW w:w="2938" w:type="dxa"/>
            <w:vMerge w:val="restart"/>
            <w:tcBorders>
              <w:top w:val="single" w:color="auto" w:sz="8" w:space="0"/>
              <w:left w:val="single" w:color="auto" w:sz="8" w:space="0"/>
              <w:bottom w:val="single" w:color="000000" w:sz="8" w:space="0"/>
              <w:right w:val="single" w:color="auto" w:sz="8" w:space="0"/>
            </w:tcBorders>
            <w:noWrap w:val="0"/>
            <w:vAlign w:val="center"/>
          </w:tcPr>
          <w:p w14:paraId="7841EB73">
            <w:pPr>
              <w:widowControl/>
              <w:jc w:val="center"/>
              <w:rPr>
                <w:rFonts w:ascii="宋体" w:cs="宋体"/>
                <w:color w:val="000000"/>
                <w:kern w:val="0"/>
                <w:sz w:val="21"/>
                <w:szCs w:val="24"/>
              </w:rPr>
            </w:pPr>
            <w:r>
              <w:rPr>
                <w:rFonts w:hint="eastAsia" w:ascii="宋体" w:hAnsi="宋体" w:cs="宋体"/>
                <w:color w:val="000000"/>
                <w:kern w:val="0"/>
                <w:sz w:val="21"/>
                <w:szCs w:val="24"/>
              </w:rPr>
              <w:t>检测方法</w:t>
            </w:r>
          </w:p>
        </w:tc>
      </w:tr>
      <w:tr w14:paraId="34A39F6B">
        <w:tblPrEx>
          <w:tblCellMar>
            <w:top w:w="0" w:type="dxa"/>
            <w:left w:w="108" w:type="dxa"/>
            <w:bottom w:w="0" w:type="dxa"/>
            <w:right w:w="108" w:type="dxa"/>
          </w:tblCellMar>
        </w:tblPrEx>
        <w:trPr>
          <w:trHeight w:val="312" w:hRule="exact"/>
          <w:jc w:val="center"/>
        </w:trPr>
        <w:tc>
          <w:tcPr>
            <w:tcW w:w="1221" w:type="dxa"/>
            <w:vMerge w:val="continue"/>
            <w:tcBorders>
              <w:top w:val="single" w:color="auto" w:sz="8" w:space="0"/>
              <w:left w:val="single" w:color="auto" w:sz="8" w:space="0"/>
              <w:bottom w:val="single" w:color="000000" w:sz="8" w:space="0"/>
              <w:right w:val="single" w:color="auto" w:sz="8" w:space="0"/>
            </w:tcBorders>
            <w:noWrap w:val="0"/>
            <w:vAlign w:val="center"/>
          </w:tcPr>
          <w:p w14:paraId="41E070A2">
            <w:pPr>
              <w:widowControl/>
              <w:jc w:val="center"/>
              <w:rPr>
                <w:rFonts w:ascii="宋体" w:cs="宋体"/>
                <w:color w:val="000000"/>
                <w:kern w:val="0"/>
                <w:sz w:val="21"/>
                <w:szCs w:val="24"/>
              </w:rPr>
            </w:pPr>
          </w:p>
        </w:tc>
        <w:tc>
          <w:tcPr>
            <w:tcW w:w="3496" w:type="dxa"/>
            <w:vMerge w:val="continue"/>
            <w:tcBorders>
              <w:top w:val="single" w:color="auto" w:sz="8" w:space="0"/>
              <w:left w:val="single" w:color="auto" w:sz="8" w:space="0"/>
              <w:bottom w:val="single" w:color="000000" w:sz="8" w:space="0"/>
              <w:right w:val="single" w:color="000000" w:sz="8" w:space="0"/>
            </w:tcBorders>
            <w:noWrap w:val="0"/>
            <w:vAlign w:val="center"/>
          </w:tcPr>
          <w:p w14:paraId="4AEE5012">
            <w:pPr>
              <w:widowControl/>
              <w:jc w:val="center"/>
              <w:rPr>
                <w:rFonts w:ascii="宋体" w:cs="宋体"/>
                <w:color w:val="000000"/>
                <w:kern w:val="0"/>
                <w:sz w:val="21"/>
                <w:szCs w:val="24"/>
              </w:rPr>
            </w:pPr>
          </w:p>
        </w:tc>
        <w:tc>
          <w:tcPr>
            <w:tcW w:w="2938" w:type="dxa"/>
            <w:vMerge w:val="continue"/>
            <w:tcBorders>
              <w:top w:val="single" w:color="auto" w:sz="8" w:space="0"/>
              <w:left w:val="single" w:color="auto" w:sz="8" w:space="0"/>
              <w:bottom w:val="single" w:color="000000" w:sz="8" w:space="0"/>
              <w:right w:val="single" w:color="auto" w:sz="8" w:space="0"/>
            </w:tcBorders>
            <w:noWrap w:val="0"/>
            <w:vAlign w:val="center"/>
          </w:tcPr>
          <w:p w14:paraId="50035428">
            <w:pPr>
              <w:widowControl/>
              <w:jc w:val="center"/>
              <w:rPr>
                <w:rFonts w:ascii="宋体" w:cs="宋体"/>
                <w:color w:val="000000"/>
                <w:kern w:val="0"/>
                <w:sz w:val="21"/>
                <w:szCs w:val="24"/>
              </w:rPr>
            </w:pPr>
          </w:p>
        </w:tc>
      </w:tr>
      <w:tr w14:paraId="75642E18">
        <w:tblPrEx>
          <w:tblCellMar>
            <w:top w:w="0" w:type="dxa"/>
            <w:left w:w="108" w:type="dxa"/>
            <w:bottom w:w="0" w:type="dxa"/>
            <w:right w:w="108" w:type="dxa"/>
          </w:tblCellMar>
        </w:tblPrEx>
        <w:trPr>
          <w:trHeight w:val="654" w:hRule="exact"/>
          <w:jc w:val="center"/>
        </w:trPr>
        <w:tc>
          <w:tcPr>
            <w:tcW w:w="1221" w:type="dxa"/>
            <w:tcBorders>
              <w:top w:val="nil"/>
              <w:left w:val="single" w:color="auto" w:sz="8" w:space="0"/>
              <w:bottom w:val="single" w:color="auto" w:sz="8" w:space="0"/>
              <w:right w:val="single" w:color="auto" w:sz="8" w:space="0"/>
            </w:tcBorders>
            <w:noWrap w:val="0"/>
            <w:vAlign w:val="center"/>
          </w:tcPr>
          <w:p w14:paraId="78271CB1">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1</w:t>
            </w:r>
          </w:p>
        </w:tc>
        <w:tc>
          <w:tcPr>
            <w:tcW w:w="3496" w:type="dxa"/>
            <w:tcBorders>
              <w:top w:val="single" w:color="auto" w:sz="8" w:space="0"/>
              <w:left w:val="nil"/>
              <w:bottom w:val="single" w:color="auto" w:sz="8" w:space="0"/>
              <w:right w:val="single" w:color="000000" w:sz="8" w:space="0"/>
            </w:tcBorders>
            <w:noWrap w:val="0"/>
            <w:vAlign w:val="center"/>
          </w:tcPr>
          <w:p w14:paraId="69706BDE">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氢气的体积分数</w:t>
            </w:r>
          </w:p>
        </w:tc>
        <w:tc>
          <w:tcPr>
            <w:tcW w:w="2938" w:type="dxa"/>
            <w:tcBorders>
              <w:top w:val="nil"/>
              <w:left w:val="nil"/>
              <w:bottom w:val="single" w:color="auto" w:sz="8" w:space="0"/>
              <w:right w:val="single" w:color="auto" w:sz="8" w:space="0"/>
            </w:tcBorders>
            <w:noWrap w:val="0"/>
            <w:vAlign w:val="center"/>
          </w:tcPr>
          <w:p w14:paraId="3F211E6D">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3634.1-2006</w:t>
            </w:r>
          </w:p>
        </w:tc>
      </w:tr>
      <w:tr w14:paraId="5CF5A086">
        <w:tblPrEx>
          <w:tblCellMar>
            <w:top w:w="0" w:type="dxa"/>
            <w:left w:w="108" w:type="dxa"/>
            <w:bottom w:w="0" w:type="dxa"/>
            <w:right w:w="108" w:type="dxa"/>
          </w:tblCellMar>
        </w:tblPrEx>
        <w:trPr>
          <w:trHeight w:val="669" w:hRule="exact"/>
          <w:jc w:val="center"/>
        </w:trPr>
        <w:tc>
          <w:tcPr>
            <w:tcW w:w="1221" w:type="dxa"/>
            <w:tcBorders>
              <w:top w:val="nil"/>
              <w:left w:val="single" w:color="auto" w:sz="8" w:space="0"/>
              <w:bottom w:val="single" w:color="auto" w:sz="8" w:space="0"/>
              <w:right w:val="single" w:color="auto" w:sz="8" w:space="0"/>
            </w:tcBorders>
            <w:noWrap w:val="0"/>
            <w:vAlign w:val="center"/>
          </w:tcPr>
          <w:p w14:paraId="1D3A0714">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2</w:t>
            </w:r>
          </w:p>
        </w:tc>
        <w:tc>
          <w:tcPr>
            <w:tcW w:w="3496" w:type="dxa"/>
            <w:tcBorders>
              <w:top w:val="single" w:color="auto" w:sz="8" w:space="0"/>
              <w:left w:val="nil"/>
              <w:bottom w:val="single" w:color="auto" w:sz="8" w:space="0"/>
              <w:right w:val="single" w:color="000000" w:sz="8" w:space="0"/>
            </w:tcBorders>
            <w:noWrap w:val="0"/>
            <w:vAlign w:val="center"/>
          </w:tcPr>
          <w:p w14:paraId="03D5D58C">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氧的体积分数</w:t>
            </w:r>
          </w:p>
        </w:tc>
        <w:tc>
          <w:tcPr>
            <w:tcW w:w="2938" w:type="dxa"/>
            <w:tcBorders>
              <w:top w:val="nil"/>
              <w:left w:val="nil"/>
              <w:bottom w:val="single" w:color="auto" w:sz="8" w:space="0"/>
              <w:right w:val="single" w:color="auto" w:sz="8" w:space="0"/>
            </w:tcBorders>
            <w:noWrap w:val="0"/>
            <w:vAlign w:val="center"/>
          </w:tcPr>
          <w:p w14:paraId="7B32AAFC">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3634.1-2006</w:t>
            </w:r>
          </w:p>
        </w:tc>
      </w:tr>
      <w:tr w14:paraId="1835C819">
        <w:tblPrEx>
          <w:tblCellMar>
            <w:top w:w="0" w:type="dxa"/>
            <w:left w:w="108" w:type="dxa"/>
            <w:bottom w:w="0" w:type="dxa"/>
            <w:right w:w="108" w:type="dxa"/>
          </w:tblCellMar>
        </w:tblPrEx>
        <w:trPr>
          <w:trHeight w:val="684" w:hRule="exact"/>
          <w:jc w:val="center"/>
        </w:trPr>
        <w:tc>
          <w:tcPr>
            <w:tcW w:w="1221" w:type="dxa"/>
            <w:tcBorders>
              <w:top w:val="single" w:color="auto" w:sz="8" w:space="0"/>
              <w:left w:val="single" w:color="auto" w:sz="8" w:space="0"/>
              <w:bottom w:val="single" w:color="auto" w:sz="8" w:space="0"/>
              <w:right w:val="single" w:color="auto" w:sz="8" w:space="0"/>
            </w:tcBorders>
            <w:noWrap w:val="0"/>
            <w:vAlign w:val="center"/>
          </w:tcPr>
          <w:p w14:paraId="3E42425C">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3</w:t>
            </w:r>
          </w:p>
        </w:tc>
        <w:tc>
          <w:tcPr>
            <w:tcW w:w="3496" w:type="dxa"/>
            <w:tcBorders>
              <w:top w:val="single" w:color="auto" w:sz="8" w:space="0"/>
              <w:left w:val="single" w:color="auto" w:sz="8" w:space="0"/>
              <w:bottom w:val="single" w:color="auto" w:sz="8" w:space="0"/>
              <w:right w:val="single" w:color="auto" w:sz="8" w:space="0"/>
            </w:tcBorders>
            <w:noWrap w:val="0"/>
            <w:vAlign w:val="center"/>
          </w:tcPr>
          <w:p w14:paraId="0A69C1B7">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氮加氩的体积分数</w:t>
            </w:r>
          </w:p>
        </w:tc>
        <w:tc>
          <w:tcPr>
            <w:tcW w:w="2938" w:type="dxa"/>
            <w:tcBorders>
              <w:top w:val="single" w:color="auto" w:sz="8" w:space="0"/>
              <w:left w:val="single" w:color="auto" w:sz="8" w:space="0"/>
              <w:bottom w:val="single" w:color="auto" w:sz="8" w:space="0"/>
              <w:right w:val="single" w:color="auto" w:sz="8" w:space="0"/>
            </w:tcBorders>
            <w:noWrap w:val="0"/>
            <w:vAlign w:val="center"/>
          </w:tcPr>
          <w:p w14:paraId="6E92C1A4">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3634.1-2006</w:t>
            </w:r>
          </w:p>
        </w:tc>
      </w:tr>
    </w:tbl>
    <w:p w14:paraId="4EEF9797">
      <w:pPr>
        <w:snapToGrid w:val="0"/>
        <w:spacing w:line="440" w:lineRule="exact"/>
        <w:ind w:firstLine="420" w:firstLineChars="200"/>
        <w:jc w:val="center"/>
        <w:rPr>
          <w:rFonts w:hint="eastAsia"/>
          <w:color w:val="auto"/>
          <w:szCs w:val="21"/>
          <w:lang w:val="en-US" w:eastAsia="zh-CN"/>
        </w:rPr>
      </w:pPr>
    </w:p>
    <w:p w14:paraId="3FB8A016">
      <w:pPr>
        <w:snapToGrid w:val="0"/>
        <w:spacing w:line="440" w:lineRule="exact"/>
        <w:ind w:firstLine="420" w:firstLineChars="200"/>
        <w:rPr>
          <w:color w:val="auto"/>
          <w:szCs w:val="21"/>
        </w:rPr>
      </w:pPr>
      <w:r>
        <w:rPr>
          <w:rFonts w:hint="eastAsia"/>
          <w:color w:val="auto"/>
          <w:szCs w:val="21"/>
        </w:rPr>
        <w:t>执行企业标准、团体标准、地方标准的产品，检验项目参照上述内容执行。</w:t>
      </w:r>
    </w:p>
    <w:p w14:paraId="4F5DA60B">
      <w:pPr>
        <w:snapToGrid w:val="0"/>
        <w:spacing w:line="440" w:lineRule="exact"/>
        <w:ind w:firstLine="420" w:firstLineChars="200"/>
        <w:rPr>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p>
    <w:p w14:paraId="6CFBA095">
      <w:pPr>
        <w:spacing w:beforeLines="50" w:line="360" w:lineRule="auto"/>
        <w:rPr>
          <w:rFonts w:eastAsia="黑体"/>
          <w:color w:val="000000"/>
          <w:szCs w:val="21"/>
        </w:rPr>
      </w:pPr>
      <w:r>
        <w:rPr>
          <w:rFonts w:eastAsia="黑体"/>
          <w:color w:val="000000"/>
          <w:szCs w:val="21"/>
        </w:rPr>
        <w:t>3 判定规则</w:t>
      </w:r>
    </w:p>
    <w:p w14:paraId="40BB9BDC">
      <w:pPr>
        <w:snapToGrid w:val="0"/>
        <w:spacing w:line="440" w:lineRule="exact"/>
        <w:rPr>
          <w:color w:val="000000"/>
          <w:szCs w:val="21"/>
        </w:rPr>
      </w:pPr>
      <w:r>
        <w:rPr>
          <w:color w:val="000000"/>
          <w:szCs w:val="21"/>
        </w:rPr>
        <w:t>3.1依据标准</w:t>
      </w:r>
    </w:p>
    <w:p w14:paraId="39F2AB1D">
      <w:pPr>
        <w:spacing w:line="440" w:lineRule="exact"/>
        <w:ind w:firstLine="420" w:firstLineChars="200"/>
        <w:rPr>
          <w:rFonts w:hint="default" w:ascii="宋体" w:hAnsi="宋体" w:cs="宋体"/>
          <w:lang w:val="en-US" w:eastAsia="zh-CN"/>
        </w:rPr>
      </w:pPr>
      <w:bookmarkStart w:id="0" w:name="_Hlk32567754"/>
      <w:r>
        <w:rPr>
          <w:rFonts w:ascii="宋体" w:hAnsi="宋体" w:cs="宋体"/>
        </w:rPr>
        <w:t>GB</w:t>
      </w:r>
      <w:r>
        <w:rPr>
          <w:rFonts w:hint="eastAsia" w:ascii="宋体" w:hAnsi="宋体" w:cs="宋体"/>
          <w:lang w:val="en-US" w:eastAsia="zh-CN"/>
        </w:rPr>
        <w:t>/T</w:t>
      </w:r>
      <w:r>
        <w:rPr>
          <w:rFonts w:ascii="宋体" w:hAnsi="宋体" w:cs="宋体"/>
        </w:rPr>
        <w:t xml:space="preserve"> </w:t>
      </w:r>
      <w:r>
        <w:rPr>
          <w:rFonts w:hint="eastAsia" w:ascii="宋体" w:hAnsi="宋体" w:cs="宋体"/>
          <w:lang w:val="en-US" w:eastAsia="zh-CN"/>
        </w:rPr>
        <w:t>3634.1</w:t>
      </w:r>
      <w:r>
        <w:rPr>
          <w:rFonts w:hint="eastAsia" w:ascii="宋体" w:hAnsi="宋体" w:cs="宋体"/>
        </w:rPr>
        <w:t>-20</w:t>
      </w:r>
      <w:r>
        <w:rPr>
          <w:rFonts w:hint="eastAsia" w:ascii="宋体" w:hAnsi="宋体" w:cs="宋体"/>
          <w:lang w:val="en-US" w:eastAsia="zh-CN"/>
        </w:rPr>
        <w:t>06</w:t>
      </w:r>
      <w:r>
        <w:rPr>
          <w:rFonts w:ascii="宋体" w:hAnsi="宋体" w:cs="宋体"/>
        </w:rPr>
        <w:t xml:space="preserve"> </w:t>
      </w:r>
      <w:r>
        <w:rPr>
          <w:rFonts w:hint="eastAsia" w:ascii="宋体" w:hAnsi="宋体" w:cs="宋体"/>
          <w:lang w:val="en-US" w:eastAsia="zh-CN"/>
        </w:rPr>
        <w:t>氢气 第1部分 工业氢</w:t>
      </w:r>
    </w:p>
    <w:bookmarkEnd w:id="0"/>
    <w:p w14:paraId="34E141DA">
      <w:pPr>
        <w:snapToGrid w:val="0"/>
        <w:spacing w:line="440" w:lineRule="exact"/>
        <w:ind w:firstLine="420" w:firstLineChars="200"/>
        <w:rPr>
          <w:color w:val="auto"/>
          <w:szCs w:val="21"/>
        </w:rPr>
      </w:pPr>
      <w:r>
        <w:rPr>
          <w:color w:val="auto"/>
          <w:szCs w:val="21"/>
        </w:rPr>
        <w:t>现行有效的企业标准、团体标准、地方标准及产品明示质量要求</w:t>
      </w:r>
    </w:p>
    <w:p w14:paraId="24DED790">
      <w:pPr>
        <w:snapToGrid w:val="0"/>
        <w:spacing w:line="440" w:lineRule="exact"/>
        <w:rPr>
          <w:color w:val="000000"/>
          <w:szCs w:val="21"/>
        </w:rPr>
      </w:pPr>
      <w:r>
        <w:rPr>
          <w:color w:val="000000"/>
          <w:szCs w:val="21"/>
        </w:rPr>
        <w:t>3.2判定原则</w:t>
      </w:r>
    </w:p>
    <w:p w14:paraId="5584B5BB">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经检验，检验项目全部合格，判定为被抽查产品所检项目未发现不合格；检验项目中任一项或一项以上不合格，判定为被抽查产品不合格。</w:t>
      </w:r>
    </w:p>
    <w:p w14:paraId="5F77155B">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14:paraId="6A940C23">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14:paraId="06A8A737">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14:paraId="2E67BA25">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14:paraId="544D0D61">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14:paraId="2F5FC925">
      <w:pPr>
        <w:snapToGrid w:val="0"/>
        <w:spacing w:line="440" w:lineRule="exact"/>
        <w:rPr>
          <w:rFonts w:hint="eastAsia" w:eastAsia="黑体"/>
          <w:color w:val="auto"/>
          <w:szCs w:val="21"/>
          <w:lang w:eastAsia="zh-CN"/>
        </w:rPr>
      </w:pPr>
      <w:r>
        <w:rPr>
          <w:rFonts w:hint="eastAsia" w:eastAsia="黑体"/>
          <w:color w:val="auto"/>
          <w:szCs w:val="21"/>
          <w:lang w:val="en-US" w:eastAsia="zh-CN"/>
        </w:rPr>
        <w:t>4</w:t>
      </w:r>
      <w:r>
        <w:rPr>
          <w:rFonts w:eastAsia="黑体"/>
          <w:color w:val="auto"/>
          <w:szCs w:val="21"/>
        </w:rPr>
        <w:t xml:space="preserve"> </w:t>
      </w:r>
      <w:r>
        <w:rPr>
          <w:rFonts w:hint="eastAsia" w:eastAsia="黑体"/>
          <w:color w:val="auto"/>
          <w:szCs w:val="21"/>
          <w:lang w:eastAsia="zh-CN"/>
        </w:rPr>
        <w:t>附则</w:t>
      </w:r>
    </w:p>
    <w:p w14:paraId="506E580F">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rPr>
          <w:rFonts w:hint="eastAsia"/>
          <w:color w:val="auto"/>
          <w:szCs w:val="21"/>
          <w:lang w:val="en-US" w:eastAsia="zh-CN"/>
        </w:rPr>
      </w:pPr>
      <w:r>
        <w:rPr>
          <w:rFonts w:hint="eastAsia"/>
          <w:color w:val="auto"/>
          <w:szCs w:val="21"/>
          <w:lang w:val="en-US" w:eastAsia="zh-CN"/>
        </w:rPr>
        <w:t>本细则由六安市市场监督管理局管理。</w:t>
      </w:r>
    </w:p>
    <w:p w14:paraId="4393D639">
      <w:pPr>
        <w:numPr>
          <w:ilvl w:val="0"/>
          <w:numId w:val="0"/>
        </w:numPr>
        <w:snapToGrid w:val="0"/>
        <w:spacing w:line="440" w:lineRule="exact"/>
        <w:rPr>
          <w:rFonts w:hint="default"/>
          <w:color w:val="FF0000"/>
          <w:szCs w:val="21"/>
          <w:lang w:val="en-US" w:eastAsia="zh-CN"/>
        </w:rPr>
      </w:pPr>
    </w:p>
    <w:p w14:paraId="724834DC">
      <w:pPr>
        <w:numPr>
          <w:ilvl w:val="0"/>
          <w:numId w:val="0"/>
        </w:numPr>
        <w:snapToGrid w:val="0"/>
        <w:spacing w:line="440" w:lineRule="exact"/>
        <w:rPr>
          <w:rFonts w:hint="default"/>
          <w:color w:val="FF0000"/>
          <w:sz w:val="24"/>
          <w:szCs w:val="24"/>
          <w:lang w:val="en-US" w:eastAsia="zh-CN"/>
        </w:rPr>
      </w:pPr>
    </w:p>
    <w:sectPr>
      <w:headerReference r:id="rId3" w:type="default"/>
      <w:footerReference r:id="rId4" w:type="default"/>
      <w:pgSz w:w="11906" w:h="16838"/>
      <w:pgMar w:top="1985" w:right="1474" w:bottom="1644" w:left="1474" w:header="851" w:footer="1191" w:gutter="0"/>
      <w:pgBorders>
        <w:top w:val="none" w:sz="0" w:space="0"/>
        <w:left w:val="none" w:sz="0" w:space="0"/>
        <w:bottom w:val="none" w:sz="0" w:space="0"/>
        <w:right w:val="none" w:sz="0" w:space="0"/>
      </w:pgBorders>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7E3A6">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F2C556D">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6CFEA">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Y2Q5ZjI3MDg3NGNiYTQxYWU2MWI4ZjVjNDVjN2IifQ=="/>
  </w:docVars>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928F3"/>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2CD368D"/>
    <w:rsid w:val="09234C9E"/>
    <w:rsid w:val="0BF3562B"/>
    <w:rsid w:val="11473DDB"/>
    <w:rsid w:val="13A22947"/>
    <w:rsid w:val="18172432"/>
    <w:rsid w:val="1A784B4A"/>
    <w:rsid w:val="1B9113EA"/>
    <w:rsid w:val="20087ADA"/>
    <w:rsid w:val="22096B18"/>
    <w:rsid w:val="24207B2F"/>
    <w:rsid w:val="244020ED"/>
    <w:rsid w:val="281E2746"/>
    <w:rsid w:val="2E7528CD"/>
    <w:rsid w:val="2E9760D2"/>
    <w:rsid w:val="36CC6514"/>
    <w:rsid w:val="38133FCB"/>
    <w:rsid w:val="3E214783"/>
    <w:rsid w:val="49DB79B2"/>
    <w:rsid w:val="569128B3"/>
    <w:rsid w:val="575527A0"/>
    <w:rsid w:val="636B2161"/>
    <w:rsid w:val="637B4DE8"/>
    <w:rsid w:val="647FE99D"/>
    <w:rsid w:val="6C4072A3"/>
    <w:rsid w:val="6C511FF2"/>
    <w:rsid w:val="73CD18FF"/>
    <w:rsid w:val="76187C2C"/>
    <w:rsid w:val="7BEF7469"/>
    <w:rsid w:val="7EDB396C"/>
    <w:rsid w:val="A8DFAB3A"/>
    <w:rsid w:val="AFD613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table" w:styleId="9">
    <w:name w:val="Table Grid"/>
    <w:basedOn w:val="8"/>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脚 Char"/>
    <w:basedOn w:val="10"/>
    <w:link w:val="5"/>
    <w:qFormat/>
    <w:uiPriority w:val="99"/>
    <w:rPr>
      <w:kern w:val="2"/>
      <w:sz w:val="18"/>
      <w:szCs w:val="18"/>
    </w:rPr>
  </w:style>
  <w:style w:type="character" w:customStyle="1" w:styleId="13">
    <w:name w:val="页眉 Char"/>
    <w:basedOn w:val="10"/>
    <w:link w:val="6"/>
    <w:semiHidden/>
    <w:qFormat/>
    <w:uiPriority w:val="99"/>
    <w:rPr>
      <w:kern w:val="2"/>
      <w:sz w:val="18"/>
      <w:szCs w:val="18"/>
    </w:rPr>
  </w:style>
  <w:style w:type="paragraph" w:customStyle="1" w:styleId="14">
    <w:name w:val="列出段落1"/>
    <w:basedOn w:val="1"/>
    <w:qFormat/>
    <w:uiPriority w:val="34"/>
    <w:pPr>
      <w:ind w:firstLine="420" w:firstLineChars="200"/>
    </w:pPr>
    <w:rPr>
      <w:rFonts w:ascii="Calibri" w:hAnsi="Calibri"/>
      <w:szCs w:val="22"/>
    </w:rPr>
  </w:style>
  <w:style w:type="character" w:customStyle="1" w:styleId="15">
    <w:name w:val="批注框文本 Char"/>
    <w:basedOn w:val="10"/>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667</Words>
  <Characters>712</Characters>
  <Lines>6</Lines>
  <Paragraphs>1</Paragraphs>
  <TotalTime>2</TotalTime>
  <ScaleCrop>false</ScaleCrop>
  <LinksUpToDate>false</LinksUpToDate>
  <CharactersWithSpaces>723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2020-01-01T08:57:00Z</dcterms:created>
  <dc:creator>Legend User</dc:creator>
  <cp:lastModifiedBy>可乐</cp:lastModifiedBy>
  <cp:lastPrinted>2022-02-25T00:43:00Z</cp:lastPrinted>
  <dcterms:modified xsi:type="dcterms:W3CDTF">2026-03-25T06:34:20Z</dcterms:modified>
  <dc:title>××产品质量监督抽查实施细则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C26967224E674F57A6B454BD1A5C4D48</vt:lpwstr>
  </property>
  <property fmtid="{D5CDD505-2E9C-101B-9397-08002B2CF9AE}" pid="4" name="KSOTemplateDocerSaveRecord">
    <vt:lpwstr>eyJoZGlkIjoiOTYyNzA0MDUwZjQzYjlmODg3YTM4ZGJiZjZmMGQ0ZDMiLCJ1c2VySWQiOiIzODk4ODI2NTcifQ==</vt:lpwstr>
  </property>
</Properties>
</file>