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96C65">
      <w:pPr>
        <w:keepNext w:val="0"/>
        <w:keepLines w:val="0"/>
        <w:pageBreakBefore w:val="0"/>
        <w:widowControl w:val="0"/>
        <w:kinsoku/>
        <w:wordWrap/>
        <w:overflowPunct/>
        <w:topLinePunct w:val="0"/>
        <w:autoSpaceDE/>
        <w:autoSpaceDN/>
        <w:bidi w:val="0"/>
        <w:adjustRightInd/>
        <w:snapToGrid w:val="0"/>
        <w:spacing w:line="520" w:lineRule="exact"/>
        <w:ind w:firstLine="547" w:firstLineChars="171"/>
        <w:jc w:val="center"/>
        <w:textAlignment w:val="auto"/>
        <w:rPr>
          <w:rFonts w:hint="eastAsia" w:ascii="方正小标宋简体" w:hAnsi="方正小标宋简体" w:eastAsia="方正小标宋简体" w:cs="方正小标宋简体"/>
          <w:color w:val="auto"/>
          <w:kern w:val="2"/>
          <w:sz w:val="32"/>
          <w:szCs w:val="32"/>
        </w:rPr>
      </w:pPr>
      <w:r>
        <w:rPr>
          <w:rFonts w:hint="eastAsia" w:ascii="方正小标宋简体" w:hAnsi="方正小标宋简体" w:eastAsia="方正小标宋简体" w:cs="方正小标宋简体"/>
          <w:color w:val="auto"/>
          <w:kern w:val="2"/>
          <w:sz w:val="32"/>
          <w:szCs w:val="32"/>
          <w:lang w:val="en-US" w:eastAsia="zh-CN"/>
        </w:rPr>
        <w:t>六安市氯碱</w:t>
      </w:r>
      <w:r>
        <w:rPr>
          <w:rFonts w:hint="eastAsia" w:ascii="方正小标宋简体" w:hAnsi="方正小标宋简体" w:eastAsia="方正小标宋简体" w:cs="方正小标宋简体"/>
          <w:color w:val="auto"/>
          <w:kern w:val="2"/>
          <w:sz w:val="32"/>
          <w:szCs w:val="32"/>
        </w:rPr>
        <w:t>产品质量监督抽查实施细则</w:t>
      </w:r>
    </w:p>
    <w:p w14:paraId="246CBBF7">
      <w:pPr>
        <w:snapToGrid w:val="0"/>
        <w:spacing w:line="440" w:lineRule="exact"/>
        <w:rPr>
          <w:rFonts w:eastAsia="黑体"/>
          <w:color w:val="000000"/>
          <w:szCs w:val="21"/>
        </w:rPr>
      </w:pPr>
      <w:r>
        <w:rPr>
          <w:rFonts w:eastAsia="黑体"/>
          <w:color w:val="000000"/>
          <w:szCs w:val="21"/>
        </w:rPr>
        <w:t>1 抽样方法</w:t>
      </w:r>
    </w:p>
    <w:p w14:paraId="58C33094">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以随机抽样的方式在被抽样生产者、销售者的待销产品中抽取。</w:t>
      </w:r>
    </w:p>
    <w:p w14:paraId="6F166E6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随机数一般可使用随机数表等方法产生。</w:t>
      </w:r>
    </w:p>
    <w:p w14:paraId="68451C87">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textAlignment w:val="auto"/>
        <w:rPr>
          <w:color w:val="000000"/>
          <w:szCs w:val="21"/>
        </w:rPr>
      </w:pPr>
      <w:r>
        <w:rPr>
          <w:rFonts w:hint="eastAsia" w:ascii="宋体" w:hAnsi="宋体"/>
          <w:color w:val="000000"/>
        </w:rPr>
        <w:t>抽取样品应为同一型号规格、同一批次的产品</w:t>
      </w:r>
      <w:r>
        <w:rPr>
          <w:rFonts w:hint="eastAsia" w:ascii="宋体" w:hAnsi="宋体" w:cs="宋体"/>
        </w:rPr>
        <w:t>，每批样品至少取</w:t>
      </w:r>
      <w:r>
        <w:rPr>
          <w:rFonts w:hint="eastAsia" w:ascii="宋体" w:hAnsi="宋体"/>
          <w:lang w:val="en-US" w:eastAsia="zh-CN"/>
        </w:rPr>
        <w:t>500克/毫升</w:t>
      </w:r>
      <w:r>
        <w:rPr>
          <w:rFonts w:hint="eastAsia" w:ascii="宋体" w:hAnsi="宋体" w:cs="宋体"/>
        </w:rPr>
        <w:t>×2份，一份作为检验样品，一份作为备用样品。样品全部带回承检机构。抽查样品基数满足抽样数量即可。</w:t>
      </w:r>
    </w:p>
    <w:p w14:paraId="13E397D2">
      <w:pPr>
        <w:snapToGrid w:val="0"/>
        <w:spacing w:line="440" w:lineRule="exact"/>
        <w:ind w:firstLine="420" w:firstLineChars="200"/>
        <w:rPr>
          <w:color w:val="000000"/>
          <w:szCs w:val="21"/>
        </w:rPr>
      </w:pPr>
    </w:p>
    <w:p w14:paraId="444F254C">
      <w:pPr>
        <w:snapToGrid w:val="0"/>
        <w:spacing w:line="440" w:lineRule="exact"/>
        <w:rPr>
          <w:rFonts w:eastAsia="黑体"/>
          <w:color w:val="000000"/>
          <w:szCs w:val="21"/>
        </w:rPr>
      </w:pPr>
      <w:r>
        <w:rPr>
          <w:rFonts w:eastAsia="黑体"/>
          <w:color w:val="000000"/>
          <w:szCs w:val="21"/>
        </w:rPr>
        <w:t>2 检验依据</w:t>
      </w:r>
    </w:p>
    <w:p w14:paraId="23E58F6B">
      <w:pPr>
        <w:adjustRightInd w:val="0"/>
        <w:snapToGrid w:val="0"/>
        <w:spacing w:line="440" w:lineRule="exact"/>
        <w:ind w:firstLine="3570" w:firstLineChars="1700"/>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表1 工业用氢氧化钠</w:t>
      </w:r>
    </w:p>
    <w:tbl>
      <w:tblPr>
        <w:tblStyle w:val="8"/>
        <w:tblW w:w="4172" w:type="pct"/>
        <w:jc w:val="center"/>
        <w:tblLayout w:type="autofit"/>
        <w:tblCellMar>
          <w:top w:w="0" w:type="dxa"/>
          <w:left w:w="108" w:type="dxa"/>
          <w:bottom w:w="0" w:type="dxa"/>
          <w:right w:w="108" w:type="dxa"/>
        </w:tblCellMar>
      </w:tblPr>
      <w:tblGrid>
        <w:gridCol w:w="1221"/>
        <w:gridCol w:w="3496"/>
        <w:gridCol w:w="2938"/>
      </w:tblGrid>
      <w:tr w14:paraId="7903B159">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2947B1D9">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vMerge w:val="restart"/>
            <w:tcBorders>
              <w:top w:val="single" w:color="auto" w:sz="8" w:space="0"/>
              <w:left w:val="single" w:color="auto" w:sz="8" w:space="0"/>
              <w:bottom w:val="single" w:color="000000" w:sz="8" w:space="0"/>
              <w:right w:val="single" w:color="000000" w:sz="8" w:space="0"/>
            </w:tcBorders>
            <w:noWrap w:val="0"/>
            <w:vAlign w:val="center"/>
          </w:tcPr>
          <w:p w14:paraId="3D6D5C11">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7841EB73">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34A39F6B">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41E070A2">
            <w:pPr>
              <w:widowControl/>
              <w:jc w:val="center"/>
              <w:rPr>
                <w:rFonts w:ascii="宋体" w:cs="宋体"/>
                <w:color w:val="000000"/>
                <w:kern w:val="0"/>
                <w:sz w:val="21"/>
                <w:szCs w:val="24"/>
              </w:rPr>
            </w:pPr>
          </w:p>
        </w:tc>
        <w:tc>
          <w:tcPr>
            <w:tcW w:w="3496" w:type="dxa"/>
            <w:vMerge w:val="continue"/>
            <w:tcBorders>
              <w:top w:val="single" w:color="auto" w:sz="8" w:space="0"/>
              <w:left w:val="single" w:color="auto" w:sz="8" w:space="0"/>
              <w:bottom w:val="single" w:color="000000" w:sz="8" w:space="0"/>
              <w:right w:val="single" w:color="000000" w:sz="8" w:space="0"/>
            </w:tcBorders>
            <w:noWrap w:val="0"/>
            <w:vAlign w:val="center"/>
          </w:tcPr>
          <w:p w14:paraId="4AEE5012">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50035428">
            <w:pPr>
              <w:widowControl/>
              <w:jc w:val="center"/>
              <w:rPr>
                <w:rFonts w:ascii="宋体" w:cs="宋体"/>
                <w:color w:val="000000"/>
                <w:kern w:val="0"/>
                <w:sz w:val="21"/>
                <w:szCs w:val="24"/>
              </w:rPr>
            </w:pPr>
          </w:p>
        </w:tc>
      </w:tr>
      <w:tr w14:paraId="75642E18">
        <w:tblPrEx>
          <w:tblCellMar>
            <w:top w:w="0" w:type="dxa"/>
            <w:left w:w="108" w:type="dxa"/>
            <w:bottom w:w="0" w:type="dxa"/>
            <w:right w:w="108" w:type="dxa"/>
          </w:tblCellMar>
        </w:tblPrEx>
        <w:trPr>
          <w:trHeight w:val="509" w:hRule="exact"/>
          <w:jc w:val="center"/>
        </w:trPr>
        <w:tc>
          <w:tcPr>
            <w:tcW w:w="1221" w:type="dxa"/>
            <w:tcBorders>
              <w:top w:val="nil"/>
              <w:left w:val="single" w:color="auto" w:sz="8" w:space="0"/>
              <w:bottom w:val="single" w:color="auto" w:sz="8" w:space="0"/>
              <w:right w:val="single" w:color="auto" w:sz="8" w:space="0"/>
            </w:tcBorders>
            <w:noWrap w:val="0"/>
            <w:vAlign w:val="center"/>
          </w:tcPr>
          <w:p w14:paraId="78271CB1">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1</w:t>
            </w:r>
          </w:p>
        </w:tc>
        <w:tc>
          <w:tcPr>
            <w:tcW w:w="3496" w:type="dxa"/>
            <w:tcBorders>
              <w:top w:val="single" w:color="auto" w:sz="8" w:space="0"/>
              <w:left w:val="nil"/>
              <w:bottom w:val="single" w:color="auto" w:sz="8" w:space="0"/>
              <w:right w:val="single" w:color="000000" w:sz="8" w:space="0"/>
            </w:tcBorders>
            <w:noWrap w:val="0"/>
            <w:vAlign w:val="center"/>
          </w:tcPr>
          <w:p w14:paraId="69706BDE">
            <w:pPr>
              <w:widowControl/>
              <w:jc w:val="center"/>
              <w:rPr>
                <w:rFonts w:hint="eastAsia" w:ascii="宋体" w:eastAsia="宋体" w:cs="宋体"/>
                <w:color w:val="000000"/>
                <w:kern w:val="0"/>
                <w:sz w:val="21"/>
                <w:szCs w:val="24"/>
                <w:lang w:eastAsia="zh-CN"/>
              </w:rPr>
            </w:pPr>
            <w:r>
              <w:rPr>
                <w:rFonts w:hint="eastAsia" w:ascii="宋体" w:hAnsi="宋体" w:cs="宋体"/>
                <w:color w:val="000000"/>
                <w:kern w:val="0"/>
                <w:sz w:val="21"/>
                <w:szCs w:val="24"/>
                <w:lang w:val="en-US" w:eastAsia="zh-CN"/>
              </w:rPr>
              <w:t>氢氧化钠</w:t>
            </w:r>
          </w:p>
        </w:tc>
        <w:tc>
          <w:tcPr>
            <w:tcW w:w="2938" w:type="dxa"/>
            <w:tcBorders>
              <w:top w:val="nil"/>
              <w:left w:val="nil"/>
              <w:bottom w:val="single" w:color="auto" w:sz="8" w:space="0"/>
              <w:right w:val="single" w:color="auto" w:sz="8" w:space="0"/>
            </w:tcBorders>
            <w:noWrap w:val="0"/>
            <w:vAlign w:val="center"/>
          </w:tcPr>
          <w:p w14:paraId="3F211E6D">
            <w:pPr>
              <w:widowControl/>
              <w:jc w:val="center"/>
              <w:rPr>
                <w:rFonts w:hint="default" w:ascii="宋体" w:hAnsi="宋体" w:eastAsia="宋体" w:cs="宋体"/>
                <w:color w:val="000000"/>
                <w:kern w:val="0"/>
                <w:sz w:val="21"/>
                <w:szCs w:val="24"/>
                <w:lang w:val="en-US" w:eastAsia="zh-CN"/>
              </w:rPr>
            </w:pPr>
            <w:r>
              <w:rPr>
                <w:rFonts w:ascii="宋体" w:hAnsi="宋体" w:cs="宋体"/>
                <w:color w:val="000000"/>
                <w:kern w:val="0"/>
                <w:sz w:val="21"/>
                <w:szCs w:val="24"/>
              </w:rPr>
              <w:t xml:space="preserve">GB/T </w:t>
            </w:r>
            <w:r>
              <w:rPr>
                <w:rFonts w:hint="eastAsia" w:ascii="宋体" w:hAnsi="宋体" w:cs="宋体"/>
                <w:color w:val="000000"/>
                <w:kern w:val="0"/>
                <w:sz w:val="21"/>
                <w:szCs w:val="24"/>
                <w:lang w:val="en-US" w:eastAsia="zh-CN"/>
              </w:rPr>
              <w:t>4348.1</w:t>
            </w:r>
          </w:p>
        </w:tc>
      </w:tr>
      <w:tr w14:paraId="5CF5A086">
        <w:tblPrEx>
          <w:tblCellMar>
            <w:top w:w="0" w:type="dxa"/>
            <w:left w:w="108" w:type="dxa"/>
            <w:bottom w:w="0" w:type="dxa"/>
            <w:right w:w="108" w:type="dxa"/>
          </w:tblCellMar>
        </w:tblPrEx>
        <w:trPr>
          <w:trHeight w:val="669" w:hRule="exact"/>
          <w:jc w:val="center"/>
        </w:trPr>
        <w:tc>
          <w:tcPr>
            <w:tcW w:w="1221" w:type="dxa"/>
            <w:tcBorders>
              <w:top w:val="nil"/>
              <w:left w:val="single" w:color="auto" w:sz="8" w:space="0"/>
              <w:bottom w:val="single" w:color="auto" w:sz="8" w:space="0"/>
              <w:right w:val="single" w:color="auto" w:sz="8" w:space="0"/>
            </w:tcBorders>
            <w:noWrap w:val="0"/>
            <w:vAlign w:val="center"/>
          </w:tcPr>
          <w:p w14:paraId="1D3A0714">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2</w:t>
            </w:r>
          </w:p>
        </w:tc>
        <w:tc>
          <w:tcPr>
            <w:tcW w:w="3496" w:type="dxa"/>
            <w:tcBorders>
              <w:top w:val="single" w:color="auto" w:sz="8" w:space="0"/>
              <w:left w:val="nil"/>
              <w:bottom w:val="single" w:color="auto" w:sz="8" w:space="0"/>
              <w:right w:val="single" w:color="000000" w:sz="8" w:space="0"/>
            </w:tcBorders>
            <w:noWrap w:val="0"/>
            <w:vAlign w:val="center"/>
          </w:tcPr>
          <w:p w14:paraId="03D5D58C">
            <w:pPr>
              <w:widowControl/>
              <w:jc w:val="center"/>
              <w:rPr>
                <w:rFonts w:hint="eastAsia" w:ascii="宋体" w:eastAsia="宋体" w:cs="宋体"/>
                <w:color w:val="000000"/>
                <w:kern w:val="0"/>
                <w:sz w:val="21"/>
                <w:szCs w:val="24"/>
                <w:lang w:eastAsia="zh-CN"/>
              </w:rPr>
            </w:pPr>
            <w:r>
              <w:rPr>
                <w:rFonts w:hint="eastAsia" w:ascii="宋体" w:hAnsi="宋体" w:cs="宋体"/>
                <w:color w:val="000000"/>
                <w:kern w:val="0"/>
                <w:sz w:val="21"/>
                <w:szCs w:val="24"/>
                <w:lang w:val="en-US" w:eastAsia="zh-CN"/>
              </w:rPr>
              <w:t>碳酸钠</w:t>
            </w:r>
          </w:p>
        </w:tc>
        <w:tc>
          <w:tcPr>
            <w:tcW w:w="2938" w:type="dxa"/>
            <w:tcBorders>
              <w:top w:val="nil"/>
              <w:left w:val="nil"/>
              <w:bottom w:val="single" w:color="auto" w:sz="8" w:space="0"/>
              <w:right w:val="single" w:color="auto" w:sz="8" w:space="0"/>
            </w:tcBorders>
            <w:noWrap w:val="0"/>
            <w:vAlign w:val="center"/>
          </w:tcPr>
          <w:p w14:paraId="54E5FB74">
            <w:pPr>
              <w:widowControl/>
              <w:jc w:val="center"/>
              <w:rPr>
                <w:rFonts w:hint="eastAsia" w:ascii="宋体" w:hAnsi="宋体" w:cs="宋体"/>
                <w:color w:val="000000"/>
                <w:kern w:val="0"/>
                <w:sz w:val="21"/>
                <w:szCs w:val="24"/>
                <w:lang w:val="en-US" w:eastAsia="zh-CN"/>
              </w:rPr>
            </w:pPr>
            <w:r>
              <w:rPr>
                <w:rFonts w:ascii="宋体" w:hAnsi="宋体" w:cs="宋体"/>
                <w:color w:val="000000"/>
                <w:kern w:val="0"/>
                <w:sz w:val="21"/>
                <w:szCs w:val="24"/>
              </w:rPr>
              <w:t xml:space="preserve">GB/T </w:t>
            </w:r>
            <w:r>
              <w:rPr>
                <w:rFonts w:hint="eastAsia" w:ascii="宋体" w:hAnsi="宋体" w:cs="宋体"/>
                <w:color w:val="000000"/>
                <w:kern w:val="0"/>
                <w:sz w:val="21"/>
                <w:szCs w:val="24"/>
                <w:lang w:val="en-US" w:eastAsia="zh-CN"/>
              </w:rPr>
              <w:t>4348.1</w:t>
            </w:r>
          </w:p>
          <w:p w14:paraId="7B32AAFC">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7698</w:t>
            </w:r>
          </w:p>
        </w:tc>
      </w:tr>
      <w:tr w14:paraId="1835C819">
        <w:tblPrEx>
          <w:tblCellMar>
            <w:top w:w="0" w:type="dxa"/>
            <w:left w:w="108" w:type="dxa"/>
            <w:bottom w:w="0" w:type="dxa"/>
            <w:right w:w="108" w:type="dxa"/>
          </w:tblCellMar>
        </w:tblPrEx>
        <w:trPr>
          <w:trHeight w:val="684" w:hRule="exact"/>
          <w:jc w:val="center"/>
        </w:trPr>
        <w:tc>
          <w:tcPr>
            <w:tcW w:w="1221" w:type="dxa"/>
            <w:tcBorders>
              <w:top w:val="nil"/>
              <w:left w:val="single" w:color="auto" w:sz="8" w:space="0"/>
              <w:bottom w:val="single" w:color="auto" w:sz="8" w:space="0"/>
              <w:right w:val="single" w:color="auto" w:sz="8" w:space="0"/>
            </w:tcBorders>
            <w:noWrap w:val="0"/>
            <w:vAlign w:val="center"/>
          </w:tcPr>
          <w:p w14:paraId="3E42425C">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3</w:t>
            </w:r>
          </w:p>
        </w:tc>
        <w:tc>
          <w:tcPr>
            <w:tcW w:w="3496" w:type="dxa"/>
            <w:tcBorders>
              <w:top w:val="single" w:color="auto" w:sz="8" w:space="0"/>
              <w:left w:val="nil"/>
              <w:bottom w:val="single" w:color="auto" w:sz="8" w:space="0"/>
              <w:right w:val="single" w:color="000000" w:sz="8" w:space="0"/>
            </w:tcBorders>
            <w:noWrap w:val="0"/>
            <w:vAlign w:val="center"/>
          </w:tcPr>
          <w:p w14:paraId="0A69C1B7">
            <w:pPr>
              <w:widowControl/>
              <w:jc w:val="center"/>
              <w:rPr>
                <w:rFonts w:hint="eastAsia" w:ascii="宋体" w:eastAsia="宋体" w:cs="宋体"/>
                <w:color w:val="000000"/>
                <w:kern w:val="0"/>
                <w:sz w:val="21"/>
                <w:szCs w:val="24"/>
                <w:lang w:eastAsia="zh-CN"/>
              </w:rPr>
            </w:pPr>
            <w:r>
              <w:rPr>
                <w:rFonts w:hint="eastAsia" w:ascii="宋体" w:hAnsi="宋体" w:cs="宋体"/>
                <w:color w:val="000000"/>
                <w:kern w:val="0"/>
                <w:sz w:val="21"/>
                <w:szCs w:val="24"/>
                <w:lang w:val="en-US" w:eastAsia="zh-CN"/>
              </w:rPr>
              <w:t>氯化钠</w:t>
            </w:r>
          </w:p>
        </w:tc>
        <w:tc>
          <w:tcPr>
            <w:tcW w:w="2938" w:type="dxa"/>
            <w:tcBorders>
              <w:top w:val="nil"/>
              <w:left w:val="nil"/>
              <w:bottom w:val="single" w:color="auto" w:sz="8" w:space="0"/>
              <w:right w:val="single" w:color="auto" w:sz="8" w:space="0"/>
            </w:tcBorders>
            <w:noWrap w:val="0"/>
            <w:vAlign w:val="center"/>
          </w:tcPr>
          <w:p w14:paraId="425E6855">
            <w:pPr>
              <w:widowControl/>
              <w:jc w:val="center"/>
              <w:rPr>
                <w:rFonts w:hint="eastAsia" w:ascii="宋体" w:hAnsi="宋体" w:cs="宋体"/>
                <w:color w:val="000000"/>
                <w:kern w:val="0"/>
                <w:sz w:val="21"/>
                <w:szCs w:val="24"/>
                <w:lang w:val="en-US" w:eastAsia="zh-CN"/>
              </w:rPr>
            </w:pPr>
            <w:r>
              <w:rPr>
                <w:rFonts w:ascii="宋体" w:hAnsi="宋体" w:cs="宋体"/>
                <w:color w:val="000000"/>
                <w:kern w:val="0"/>
                <w:sz w:val="21"/>
                <w:szCs w:val="24"/>
              </w:rPr>
              <w:t xml:space="preserve">GB/T </w:t>
            </w:r>
            <w:r>
              <w:rPr>
                <w:rFonts w:hint="eastAsia" w:ascii="宋体" w:hAnsi="宋体" w:cs="宋体"/>
                <w:color w:val="000000"/>
                <w:kern w:val="0"/>
                <w:sz w:val="21"/>
                <w:szCs w:val="24"/>
                <w:lang w:val="en-US" w:eastAsia="zh-CN"/>
              </w:rPr>
              <w:t>4348.2</w:t>
            </w:r>
          </w:p>
          <w:p w14:paraId="6E92C1A4">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11213.2</w:t>
            </w:r>
          </w:p>
        </w:tc>
      </w:tr>
    </w:tbl>
    <w:p w14:paraId="41D5560E">
      <w:pPr>
        <w:snapToGrid w:val="0"/>
        <w:spacing w:line="440" w:lineRule="exact"/>
        <w:ind w:firstLine="420" w:firstLineChars="200"/>
        <w:jc w:val="center"/>
        <w:rPr>
          <w:rFonts w:hint="eastAsia"/>
          <w:color w:val="auto"/>
          <w:szCs w:val="21"/>
          <w:lang w:val="en-US" w:eastAsia="zh-CN"/>
        </w:rPr>
      </w:pPr>
    </w:p>
    <w:p w14:paraId="6BFE9803">
      <w:pPr>
        <w:snapToGrid w:val="0"/>
        <w:spacing w:line="440" w:lineRule="exact"/>
        <w:ind w:firstLine="420" w:firstLineChars="200"/>
        <w:jc w:val="center"/>
        <w:rPr>
          <w:rFonts w:hint="default" w:eastAsia="宋体"/>
          <w:color w:val="auto"/>
          <w:szCs w:val="21"/>
          <w:lang w:val="en-US" w:eastAsia="zh-CN"/>
        </w:rPr>
      </w:pPr>
      <w:r>
        <w:rPr>
          <w:rFonts w:hint="eastAsia"/>
          <w:color w:val="auto"/>
          <w:szCs w:val="21"/>
          <w:lang w:val="en-US" w:eastAsia="zh-CN"/>
        </w:rPr>
        <w:t>表2  高纯氢氧化钠</w:t>
      </w:r>
    </w:p>
    <w:tbl>
      <w:tblPr>
        <w:tblStyle w:val="8"/>
        <w:tblW w:w="4172" w:type="pct"/>
        <w:jc w:val="center"/>
        <w:tblLayout w:type="autofit"/>
        <w:tblCellMar>
          <w:top w:w="0" w:type="dxa"/>
          <w:left w:w="108" w:type="dxa"/>
          <w:bottom w:w="0" w:type="dxa"/>
          <w:right w:w="108" w:type="dxa"/>
        </w:tblCellMar>
      </w:tblPr>
      <w:tblGrid>
        <w:gridCol w:w="1221"/>
        <w:gridCol w:w="3496"/>
        <w:gridCol w:w="2938"/>
      </w:tblGrid>
      <w:tr w14:paraId="5AADE278">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07030783">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vMerge w:val="restart"/>
            <w:tcBorders>
              <w:top w:val="single" w:color="auto" w:sz="8" w:space="0"/>
              <w:left w:val="single" w:color="auto" w:sz="8" w:space="0"/>
              <w:bottom w:val="single" w:color="000000" w:sz="8" w:space="0"/>
              <w:right w:val="single" w:color="000000" w:sz="8" w:space="0"/>
            </w:tcBorders>
            <w:noWrap w:val="0"/>
            <w:vAlign w:val="center"/>
          </w:tcPr>
          <w:p w14:paraId="7D3383A7">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281E61F5">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542BC7F9">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4DBAD5F1">
            <w:pPr>
              <w:widowControl/>
              <w:jc w:val="center"/>
              <w:rPr>
                <w:rFonts w:ascii="宋体" w:cs="宋体"/>
                <w:color w:val="000000"/>
                <w:kern w:val="0"/>
                <w:sz w:val="21"/>
                <w:szCs w:val="24"/>
              </w:rPr>
            </w:pPr>
          </w:p>
        </w:tc>
        <w:tc>
          <w:tcPr>
            <w:tcW w:w="3496" w:type="dxa"/>
            <w:vMerge w:val="continue"/>
            <w:tcBorders>
              <w:top w:val="single" w:color="auto" w:sz="8" w:space="0"/>
              <w:left w:val="single" w:color="auto" w:sz="8" w:space="0"/>
              <w:bottom w:val="single" w:color="000000" w:sz="8" w:space="0"/>
              <w:right w:val="single" w:color="000000" w:sz="8" w:space="0"/>
            </w:tcBorders>
            <w:noWrap w:val="0"/>
            <w:vAlign w:val="center"/>
          </w:tcPr>
          <w:p w14:paraId="1C001F20">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7E8BDABD">
            <w:pPr>
              <w:widowControl/>
              <w:jc w:val="center"/>
              <w:rPr>
                <w:rFonts w:ascii="宋体" w:cs="宋体"/>
                <w:color w:val="000000"/>
                <w:kern w:val="0"/>
                <w:sz w:val="21"/>
                <w:szCs w:val="24"/>
              </w:rPr>
            </w:pPr>
          </w:p>
        </w:tc>
      </w:tr>
      <w:tr w14:paraId="1BD3D0D5">
        <w:tblPrEx>
          <w:tblCellMar>
            <w:top w:w="0" w:type="dxa"/>
            <w:left w:w="108" w:type="dxa"/>
            <w:bottom w:w="0" w:type="dxa"/>
            <w:right w:w="108" w:type="dxa"/>
          </w:tblCellMar>
        </w:tblPrEx>
        <w:trPr>
          <w:trHeight w:val="704" w:hRule="exact"/>
          <w:jc w:val="center"/>
        </w:trPr>
        <w:tc>
          <w:tcPr>
            <w:tcW w:w="1221" w:type="dxa"/>
            <w:tcBorders>
              <w:top w:val="nil"/>
              <w:left w:val="single" w:color="auto" w:sz="8" w:space="0"/>
              <w:bottom w:val="single" w:color="auto" w:sz="8" w:space="0"/>
              <w:right w:val="single" w:color="auto" w:sz="8" w:space="0"/>
            </w:tcBorders>
            <w:noWrap w:val="0"/>
            <w:vAlign w:val="center"/>
          </w:tcPr>
          <w:p w14:paraId="4A879121">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1</w:t>
            </w:r>
          </w:p>
        </w:tc>
        <w:tc>
          <w:tcPr>
            <w:tcW w:w="3496" w:type="dxa"/>
            <w:tcBorders>
              <w:top w:val="single" w:color="auto" w:sz="8" w:space="0"/>
              <w:left w:val="nil"/>
              <w:bottom w:val="single" w:color="auto" w:sz="8" w:space="0"/>
              <w:right w:val="single" w:color="000000" w:sz="8" w:space="0"/>
            </w:tcBorders>
            <w:noWrap w:val="0"/>
            <w:vAlign w:val="center"/>
          </w:tcPr>
          <w:p w14:paraId="1E4D39C0">
            <w:pPr>
              <w:widowControl/>
              <w:jc w:val="center"/>
              <w:rPr>
                <w:rFonts w:ascii="宋体" w:cs="宋体"/>
                <w:color w:val="000000"/>
                <w:kern w:val="0"/>
                <w:sz w:val="21"/>
                <w:szCs w:val="24"/>
              </w:rPr>
            </w:pPr>
            <w:r>
              <w:rPr>
                <w:rFonts w:hint="eastAsia" w:ascii="宋体" w:hAnsi="宋体" w:cs="宋体"/>
                <w:color w:val="000000"/>
                <w:kern w:val="0"/>
                <w:sz w:val="21"/>
                <w:szCs w:val="24"/>
                <w:lang w:val="en-US" w:eastAsia="zh-CN"/>
              </w:rPr>
              <w:t>氢氧化钠</w:t>
            </w:r>
          </w:p>
        </w:tc>
        <w:tc>
          <w:tcPr>
            <w:tcW w:w="2938" w:type="dxa"/>
            <w:tcBorders>
              <w:top w:val="nil"/>
              <w:left w:val="nil"/>
              <w:bottom w:val="single" w:color="auto" w:sz="8" w:space="0"/>
              <w:right w:val="single" w:color="auto" w:sz="8" w:space="0"/>
            </w:tcBorders>
            <w:noWrap w:val="0"/>
            <w:vAlign w:val="center"/>
          </w:tcPr>
          <w:p w14:paraId="669A0FF2">
            <w:pPr>
              <w:widowControl/>
              <w:jc w:val="center"/>
              <w:rPr>
                <w:rFonts w:hint="eastAsia"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 xml:space="preserve"> </w:t>
            </w:r>
            <w:r>
              <w:rPr>
                <w:rFonts w:ascii="宋体" w:hAnsi="宋体" w:cs="宋体"/>
                <w:color w:val="000000"/>
                <w:kern w:val="0"/>
                <w:sz w:val="21"/>
                <w:szCs w:val="24"/>
              </w:rPr>
              <w:t xml:space="preserve">GB/T </w:t>
            </w:r>
            <w:r>
              <w:rPr>
                <w:rFonts w:hint="eastAsia" w:ascii="宋体" w:hAnsi="宋体" w:cs="宋体"/>
                <w:color w:val="000000"/>
                <w:kern w:val="0"/>
                <w:sz w:val="21"/>
                <w:szCs w:val="24"/>
                <w:lang w:val="en-US" w:eastAsia="zh-CN"/>
              </w:rPr>
              <w:t>4348.1</w:t>
            </w:r>
          </w:p>
          <w:p w14:paraId="0A2BE364">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rPr>
              <w:t>GB/T 11213.1</w:t>
            </w:r>
          </w:p>
        </w:tc>
      </w:tr>
      <w:tr w14:paraId="4D178324">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28F009AA">
            <w:pPr>
              <w:widowControl/>
              <w:jc w:val="center"/>
              <w:rPr>
                <w:rFonts w:ascii="宋体" w:hAnsi="宋体" w:cs="宋体"/>
                <w:color w:val="000000"/>
                <w:kern w:val="0"/>
                <w:sz w:val="21"/>
                <w:szCs w:val="24"/>
              </w:rPr>
            </w:pPr>
            <w:r>
              <w:rPr>
                <w:rFonts w:hint="eastAsia" w:ascii="宋体" w:hAnsi="宋体" w:cs="宋体"/>
                <w:color w:val="000000"/>
                <w:kern w:val="0"/>
                <w:sz w:val="21"/>
                <w:szCs w:val="24"/>
                <w:lang w:val="en-US" w:eastAsia="zh-CN"/>
              </w:rPr>
              <w:t>2</w:t>
            </w:r>
          </w:p>
        </w:tc>
        <w:tc>
          <w:tcPr>
            <w:tcW w:w="3496" w:type="dxa"/>
            <w:tcBorders>
              <w:top w:val="single" w:color="auto" w:sz="8" w:space="0"/>
              <w:left w:val="nil"/>
              <w:bottom w:val="single" w:color="auto" w:sz="8" w:space="0"/>
              <w:right w:val="single" w:color="000000" w:sz="8" w:space="0"/>
            </w:tcBorders>
            <w:noWrap w:val="0"/>
            <w:vAlign w:val="center"/>
          </w:tcPr>
          <w:p w14:paraId="360470F9">
            <w:pPr>
              <w:widowControl/>
              <w:jc w:val="center"/>
              <w:rPr>
                <w:rFonts w:ascii="宋体" w:cs="宋体"/>
                <w:color w:val="000000"/>
                <w:kern w:val="0"/>
                <w:sz w:val="21"/>
                <w:szCs w:val="24"/>
              </w:rPr>
            </w:pPr>
            <w:r>
              <w:rPr>
                <w:rFonts w:hint="eastAsia" w:ascii="宋体" w:hAnsi="宋体" w:cs="宋体"/>
                <w:color w:val="000000"/>
                <w:kern w:val="0"/>
                <w:sz w:val="21"/>
                <w:szCs w:val="24"/>
                <w:lang w:val="en-US" w:eastAsia="zh-CN"/>
              </w:rPr>
              <w:t>碳酸钠</w:t>
            </w:r>
          </w:p>
        </w:tc>
        <w:tc>
          <w:tcPr>
            <w:tcW w:w="2938" w:type="dxa"/>
            <w:tcBorders>
              <w:top w:val="nil"/>
              <w:left w:val="nil"/>
              <w:bottom w:val="single" w:color="auto" w:sz="8" w:space="0"/>
              <w:right w:val="single" w:color="auto" w:sz="8" w:space="0"/>
            </w:tcBorders>
            <w:noWrap w:val="0"/>
            <w:vAlign w:val="center"/>
          </w:tcPr>
          <w:p w14:paraId="27FD3E96">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7698</w:t>
            </w:r>
          </w:p>
        </w:tc>
      </w:tr>
      <w:tr w14:paraId="6E2AC6AC">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1A384598">
            <w:pPr>
              <w:widowControl/>
              <w:jc w:val="center"/>
              <w:rPr>
                <w:rFonts w:ascii="宋体" w:hAnsi="宋体" w:cs="宋体"/>
                <w:color w:val="000000"/>
                <w:kern w:val="0"/>
                <w:sz w:val="21"/>
                <w:szCs w:val="24"/>
              </w:rPr>
            </w:pPr>
            <w:r>
              <w:rPr>
                <w:rFonts w:hint="eastAsia" w:ascii="宋体" w:hAnsi="宋体" w:cs="宋体"/>
                <w:color w:val="000000"/>
                <w:kern w:val="0"/>
                <w:sz w:val="21"/>
                <w:szCs w:val="24"/>
                <w:lang w:val="en-US" w:eastAsia="zh-CN"/>
              </w:rPr>
              <w:t>3</w:t>
            </w:r>
          </w:p>
        </w:tc>
        <w:tc>
          <w:tcPr>
            <w:tcW w:w="3496" w:type="dxa"/>
            <w:tcBorders>
              <w:top w:val="single" w:color="auto" w:sz="8" w:space="0"/>
              <w:left w:val="nil"/>
              <w:bottom w:val="single" w:color="auto" w:sz="8" w:space="0"/>
              <w:right w:val="single" w:color="000000" w:sz="8" w:space="0"/>
            </w:tcBorders>
            <w:noWrap w:val="0"/>
            <w:vAlign w:val="center"/>
          </w:tcPr>
          <w:p w14:paraId="144A5B9C">
            <w:pPr>
              <w:widowControl/>
              <w:jc w:val="center"/>
              <w:rPr>
                <w:rFonts w:ascii="宋体" w:cs="宋体"/>
                <w:color w:val="000000"/>
                <w:kern w:val="0"/>
                <w:sz w:val="21"/>
                <w:szCs w:val="24"/>
              </w:rPr>
            </w:pPr>
            <w:r>
              <w:rPr>
                <w:rFonts w:hint="eastAsia" w:ascii="宋体" w:hAnsi="宋体" w:cs="宋体"/>
                <w:color w:val="000000"/>
                <w:kern w:val="0"/>
                <w:sz w:val="21"/>
                <w:szCs w:val="24"/>
                <w:lang w:val="en-US" w:eastAsia="zh-CN"/>
              </w:rPr>
              <w:t>氯化钠</w:t>
            </w:r>
          </w:p>
        </w:tc>
        <w:tc>
          <w:tcPr>
            <w:tcW w:w="2938" w:type="dxa"/>
            <w:tcBorders>
              <w:top w:val="nil"/>
              <w:left w:val="nil"/>
              <w:bottom w:val="single" w:color="auto" w:sz="8" w:space="0"/>
              <w:right w:val="single" w:color="auto" w:sz="8" w:space="0"/>
            </w:tcBorders>
            <w:noWrap w:val="0"/>
            <w:vAlign w:val="center"/>
          </w:tcPr>
          <w:p w14:paraId="53369209">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11213.2</w:t>
            </w:r>
          </w:p>
        </w:tc>
      </w:tr>
    </w:tbl>
    <w:p w14:paraId="709371E0">
      <w:pPr>
        <w:snapToGrid w:val="0"/>
        <w:spacing w:line="440" w:lineRule="exact"/>
        <w:ind w:firstLine="420" w:firstLineChars="200"/>
        <w:jc w:val="center"/>
        <w:rPr>
          <w:rFonts w:hint="eastAsia"/>
          <w:color w:val="auto"/>
          <w:szCs w:val="21"/>
          <w:lang w:val="en-US" w:eastAsia="zh-CN"/>
        </w:rPr>
      </w:pPr>
    </w:p>
    <w:p w14:paraId="2BDEBC18">
      <w:pPr>
        <w:snapToGrid w:val="0"/>
        <w:spacing w:line="440" w:lineRule="exact"/>
        <w:ind w:firstLine="420" w:firstLineChars="200"/>
        <w:jc w:val="center"/>
        <w:rPr>
          <w:rFonts w:hint="default" w:eastAsia="宋体"/>
          <w:color w:val="auto"/>
          <w:szCs w:val="21"/>
          <w:lang w:val="en-US" w:eastAsia="zh-CN"/>
        </w:rPr>
      </w:pPr>
      <w:r>
        <w:rPr>
          <w:rFonts w:hint="eastAsia"/>
          <w:color w:val="auto"/>
          <w:szCs w:val="21"/>
          <w:lang w:val="en-US" w:eastAsia="zh-CN"/>
        </w:rPr>
        <w:t>表3  工业用合成盐酸</w:t>
      </w:r>
    </w:p>
    <w:tbl>
      <w:tblPr>
        <w:tblStyle w:val="8"/>
        <w:tblW w:w="4172" w:type="pct"/>
        <w:jc w:val="center"/>
        <w:tblLayout w:type="autofit"/>
        <w:tblCellMar>
          <w:top w:w="0" w:type="dxa"/>
          <w:left w:w="108" w:type="dxa"/>
          <w:bottom w:w="0" w:type="dxa"/>
          <w:right w:w="108" w:type="dxa"/>
        </w:tblCellMar>
      </w:tblPr>
      <w:tblGrid>
        <w:gridCol w:w="1221"/>
        <w:gridCol w:w="3496"/>
        <w:gridCol w:w="2938"/>
      </w:tblGrid>
      <w:tr w14:paraId="6C7CB014">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71E1E136">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vMerge w:val="restart"/>
            <w:tcBorders>
              <w:top w:val="single" w:color="auto" w:sz="8" w:space="0"/>
              <w:left w:val="single" w:color="auto" w:sz="8" w:space="0"/>
              <w:bottom w:val="single" w:color="000000" w:sz="8" w:space="0"/>
              <w:right w:val="single" w:color="000000" w:sz="8" w:space="0"/>
            </w:tcBorders>
            <w:noWrap w:val="0"/>
            <w:vAlign w:val="center"/>
          </w:tcPr>
          <w:p w14:paraId="72C6D22D">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3F48C3D8">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43EDAEA6">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6F36673C">
            <w:pPr>
              <w:widowControl/>
              <w:jc w:val="center"/>
              <w:rPr>
                <w:rFonts w:ascii="宋体" w:cs="宋体"/>
                <w:color w:val="000000"/>
                <w:kern w:val="0"/>
                <w:sz w:val="21"/>
                <w:szCs w:val="24"/>
              </w:rPr>
            </w:pPr>
          </w:p>
        </w:tc>
        <w:tc>
          <w:tcPr>
            <w:tcW w:w="3496" w:type="dxa"/>
            <w:vMerge w:val="continue"/>
            <w:tcBorders>
              <w:top w:val="single" w:color="auto" w:sz="8" w:space="0"/>
              <w:left w:val="single" w:color="auto" w:sz="8" w:space="0"/>
              <w:bottom w:val="single" w:color="000000" w:sz="8" w:space="0"/>
              <w:right w:val="single" w:color="000000" w:sz="8" w:space="0"/>
            </w:tcBorders>
            <w:noWrap w:val="0"/>
            <w:vAlign w:val="center"/>
          </w:tcPr>
          <w:p w14:paraId="44B270E6">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2C39DB40">
            <w:pPr>
              <w:widowControl/>
              <w:jc w:val="center"/>
              <w:rPr>
                <w:rFonts w:ascii="宋体" w:cs="宋体"/>
                <w:color w:val="000000"/>
                <w:kern w:val="0"/>
                <w:sz w:val="21"/>
                <w:szCs w:val="24"/>
              </w:rPr>
            </w:pPr>
          </w:p>
        </w:tc>
      </w:tr>
      <w:tr w14:paraId="607CB5EB">
        <w:tblPrEx>
          <w:tblCellMar>
            <w:top w:w="0" w:type="dxa"/>
            <w:left w:w="108" w:type="dxa"/>
            <w:bottom w:w="0" w:type="dxa"/>
            <w:right w:w="108" w:type="dxa"/>
          </w:tblCellMar>
        </w:tblPrEx>
        <w:trPr>
          <w:trHeight w:val="534" w:hRule="exact"/>
          <w:jc w:val="center"/>
        </w:trPr>
        <w:tc>
          <w:tcPr>
            <w:tcW w:w="1221" w:type="dxa"/>
            <w:tcBorders>
              <w:top w:val="nil"/>
              <w:left w:val="single" w:color="auto" w:sz="8" w:space="0"/>
              <w:bottom w:val="single" w:color="auto" w:sz="8" w:space="0"/>
              <w:right w:val="single" w:color="auto" w:sz="8" w:space="0"/>
            </w:tcBorders>
            <w:noWrap w:val="0"/>
            <w:vAlign w:val="center"/>
          </w:tcPr>
          <w:p w14:paraId="4B8EC483">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1</w:t>
            </w:r>
          </w:p>
        </w:tc>
        <w:tc>
          <w:tcPr>
            <w:tcW w:w="3496" w:type="dxa"/>
            <w:tcBorders>
              <w:top w:val="single" w:color="auto" w:sz="8" w:space="0"/>
              <w:left w:val="nil"/>
              <w:bottom w:val="single" w:color="auto" w:sz="8" w:space="0"/>
              <w:right w:val="single" w:color="000000" w:sz="8" w:space="0"/>
            </w:tcBorders>
            <w:noWrap w:val="0"/>
            <w:vAlign w:val="center"/>
          </w:tcPr>
          <w:p w14:paraId="7094EB3D">
            <w:pPr>
              <w:widowControl/>
              <w:jc w:val="center"/>
              <w:rPr>
                <w:rFonts w:ascii="宋体" w:cs="宋体"/>
                <w:color w:val="000000"/>
                <w:kern w:val="0"/>
                <w:sz w:val="21"/>
                <w:szCs w:val="24"/>
              </w:rPr>
            </w:pPr>
            <w:r>
              <w:rPr>
                <w:rFonts w:hint="eastAsia" w:ascii="宋体" w:hAnsi="宋体" w:cs="宋体"/>
                <w:color w:val="000000"/>
                <w:kern w:val="0"/>
                <w:sz w:val="21"/>
                <w:szCs w:val="24"/>
                <w:lang w:val="en-US" w:eastAsia="zh-CN"/>
              </w:rPr>
              <w:t>总酸度</w:t>
            </w:r>
          </w:p>
        </w:tc>
        <w:tc>
          <w:tcPr>
            <w:tcW w:w="2938" w:type="dxa"/>
            <w:tcBorders>
              <w:top w:val="nil"/>
              <w:left w:val="nil"/>
              <w:bottom w:val="single" w:color="auto" w:sz="8" w:space="0"/>
              <w:right w:val="single" w:color="auto" w:sz="8" w:space="0"/>
            </w:tcBorders>
            <w:noWrap w:val="0"/>
            <w:vAlign w:val="center"/>
          </w:tcPr>
          <w:p w14:paraId="0DA5F64E">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w:t>
            </w:r>
            <w:r>
              <w:rPr>
                <w:rFonts w:ascii="宋体" w:hAnsi="宋体" w:cs="宋体"/>
                <w:color w:val="000000"/>
                <w:kern w:val="0"/>
                <w:sz w:val="21"/>
                <w:szCs w:val="24"/>
              </w:rPr>
              <w:t xml:space="preserve">/T </w:t>
            </w:r>
            <w:r>
              <w:rPr>
                <w:rFonts w:hint="eastAsia" w:ascii="宋体" w:hAnsi="宋体" w:cs="宋体"/>
                <w:color w:val="000000"/>
                <w:kern w:val="0"/>
                <w:sz w:val="21"/>
                <w:szCs w:val="24"/>
                <w:lang w:val="en-US" w:eastAsia="zh-CN"/>
              </w:rPr>
              <w:t>320</w:t>
            </w:r>
          </w:p>
        </w:tc>
      </w:tr>
      <w:tr w14:paraId="17565118">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381EBD38">
            <w:pPr>
              <w:widowControl/>
              <w:jc w:val="center"/>
              <w:rPr>
                <w:rFonts w:ascii="宋体" w:hAnsi="宋体" w:cs="宋体"/>
                <w:color w:val="000000"/>
                <w:kern w:val="0"/>
                <w:sz w:val="21"/>
                <w:szCs w:val="24"/>
              </w:rPr>
            </w:pPr>
            <w:r>
              <w:rPr>
                <w:rFonts w:hint="eastAsia" w:ascii="宋体" w:hAnsi="宋体" w:cs="宋体"/>
                <w:color w:val="000000"/>
                <w:kern w:val="0"/>
                <w:sz w:val="21"/>
                <w:szCs w:val="24"/>
                <w:lang w:val="en-US" w:eastAsia="zh-CN"/>
              </w:rPr>
              <w:t>2</w:t>
            </w:r>
          </w:p>
        </w:tc>
        <w:tc>
          <w:tcPr>
            <w:tcW w:w="3496" w:type="dxa"/>
            <w:tcBorders>
              <w:top w:val="single" w:color="auto" w:sz="8" w:space="0"/>
              <w:left w:val="nil"/>
              <w:bottom w:val="single" w:color="auto" w:sz="8" w:space="0"/>
              <w:right w:val="single" w:color="000000" w:sz="8" w:space="0"/>
            </w:tcBorders>
            <w:noWrap w:val="0"/>
            <w:vAlign w:val="center"/>
          </w:tcPr>
          <w:p w14:paraId="0FF43914">
            <w:pPr>
              <w:widowControl/>
              <w:jc w:val="center"/>
              <w:rPr>
                <w:rFonts w:ascii="宋体" w:cs="宋体"/>
                <w:color w:val="000000"/>
                <w:kern w:val="0"/>
                <w:sz w:val="21"/>
                <w:szCs w:val="24"/>
              </w:rPr>
            </w:pPr>
            <w:r>
              <w:rPr>
                <w:rFonts w:hint="eastAsia" w:ascii="宋体" w:hAnsi="宋体" w:cs="宋体"/>
                <w:color w:val="000000"/>
                <w:kern w:val="0"/>
                <w:sz w:val="21"/>
                <w:szCs w:val="24"/>
                <w:lang w:val="en-US" w:eastAsia="zh-CN"/>
              </w:rPr>
              <w:t>铁</w:t>
            </w:r>
          </w:p>
        </w:tc>
        <w:tc>
          <w:tcPr>
            <w:tcW w:w="2938" w:type="dxa"/>
            <w:tcBorders>
              <w:top w:val="nil"/>
              <w:left w:val="nil"/>
              <w:bottom w:val="single" w:color="auto" w:sz="8" w:space="0"/>
              <w:right w:val="single" w:color="auto" w:sz="8" w:space="0"/>
            </w:tcBorders>
            <w:noWrap w:val="0"/>
            <w:vAlign w:val="center"/>
          </w:tcPr>
          <w:p w14:paraId="445323B0">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w:t>
            </w:r>
            <w:r>
              <w:rPr>
                <w:rFonts w:ascii="宋体" w:hAnsi="宋体" w:cs="宋体"/>
                <w:color w:val="000000"/>
                <w:kern w:val="0"/>
                <w:sz w:val="21"/>
                <w:szCs w:val="24"/>
              </w:rPr>
              <w:t xml:space="preserve">/T </w:t>
            </w:r>
            <w:r>
              <w:rPr>
                <w:rFonts w:hint="eastAsia" w:ascii="宋体" w:hAnsi="宋体" w:cs="宋体"/>
                <w:color w:val="000000"/>
                <w:kern w:val="0"/>
                <w:sz w:val="21"/>
                <w:szCs w:val="24"/>
                <w:lang w:val="en-US" w:eastAsia="zh-CN"/>
              </w:rPr>
              <w:t>320</w:t>
            </w:r>
          </w:p>
        </w:tc>
      </w:tr>
      <w:tr w14:paraId="1C2C1B00">
        <w:tblPrEx>
          <w:tblCellMar>
            <w:top w:w="0" w:type="dxa"/>
            <w:left w:w="108" w:type="dxa"/>
            <w:bottom w:w="0" w:type="dxa"/>
            <w:right w:w="108" w:type="dxa"/>
          </w:tblCellMar>
        </w:tblPrEx>
        <w:trPr>
          <w:trHeight w:val="539"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59EA855D">
            <w:pPr>
              <w:widowControl/>
              <w:jc w:val="center"/>
              <w:rPr>
                <w:rFonts w:ascii="宋体" w:hAnsi="宋体" w:cs="宋体"/>
                <w:color w:val="000000"/>
                <w:kern w:val="0"/>
                <w:sz w:val="21"/>
                <w:szCs w:val="24"/>
              </w:rPr>
            </w:pPr>
            <w:r>
              <w:rPr>
                <w:rFonts w:hint="eastAsia" w:ascii="宋体" w:hAnsi="宋体" w:cs="宋体"/>
                <w:color w:val="000000"/>
                <w:kern w:val="0"/>
                <w:sz w:val="21"/>
                <w:szCs w:val="24"/>
                <w:lang w:val="en-US" w:eastAsia="zh-CN"/>
              </w:rPr>
              <w:t>3</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2F5A97BD">
            <w:pPr>
              <w:widowControl/>
              <w:jc w:val="center"/>
              <w:rPr>
                <w:rFonts w:ascii="宋体" w:cs="宋体"/>
                <w:color w:val="000000"/>
                <w:kern w:val="0"/>
                <w:sz w:val="21"/>
                <w:szCs w:val="24"/>
              </w:rPr>
            </w:pPr>
            <w:r>
              <w:rPr>
                <w:rFonts w:hint="eastAsia" w:ascii="宋体" w:hAnsi="宋体" w:cs="宋体"/>
                <w:color w:val="000000"/>
                <w:kern w:val="0"/>
                <w:sz w:val="21"/>
                <w:szCs w:val="24"/>
                <w:lang w:val="en-US" w:eastAsia="zh-CN"/>
              </w:rPr>
              <w:t>灼烧残渣</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0793E51F">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w:t>
            </w:r>
            <w:r>
              <w:rPr>
                <w:rFonts w:ascii="宋体" w:hAnsi="宋体" w:cs="宋体"/>
                <w:color w:val="000000"/>
                <w:kern w:val="0"/>
                <w:sz w:val="21"/>
                <w:szCs w:val="24"/>
              </w:rPr>
              <w:t xml:space="preserve">/T </w:t>
            </w:r>
            <w:r>
              <w:rPr>
                <w:rFonts w:hint="eastAsia" w:ascii="宋体" w:hAnsi="宋体" w:cs="宋体"/>
                <w:color w:val="000000"/>
                <w:kern w:val="0"/>
                <w:sz w:val="21"/>
                <w:szCs w:val="24"/>
                <w:lang w:val="en-US" w:eastAsia="zh-CN"/>
              </w:rPr>
              <w:t>320</w:t>
            </w:r>
            <w:bookmarkStart w:id="1" w:name="_GoBack"/>
            <w:bookmarkEnd w:id="1"/>
          </w:p>
        </w:tc>
      </w:tr>
    </w:tbl>
    <w:p w14:paraId="3FB8A016">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4F5DA60B">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6CFBA095">
      <w:pPr>
        <w:spacing w:beforeLines="50" w:line="360" w:lineRule="auto"/>
        <w:rPr>
          <w:rFonts w:eastAsia="黑体"/>
          <w:color w:val="000000"/>
          <w:szCs w:val="21"/>
        </w:rPr>
      </w:pPr>
      <w:r>
        <w:rPr>
          <w:rFonts w:eastAsia="黑体"/>
          <w:color w:val="000000"/>
          <w:szCs w:val="21"/>
        </w:rPr>
        <w:t>3 判定规则</w:t>
      </w:r>
    </w:p>
    <w:p w14:paraId="40BB9BDC">
      <w:pPr>
        <w:snapToGrid w:val="0"/>
        <w:spacing w:line="440" w:lineRule="exact"/>
        <w:rPr>
          <w:color w:val="000000"/>
          <w:szCs w:val="21"/>
        </w:rPr>
      </w:pPr>
      <w:r>
        <w:rPr>
          <w:color w:val="000000"/>
          <w:szCs w:val="21"/>
        </w:rPr>
        <w:t>3.1依据标准</w:t>
      </w:r>
    </w:p>
    <w:p w14:paraId="39F2AB1D">
      <w:pPr>
        <w:spacing w:line="440" w:lineRule="exact"/>
        <w:ind w:firstLine="420" w:firstLineChars="200"/>
        <w:rPr>
          <w:rFonts w:hint="eastAsia" w:ascii="宋体" w:hAnsi="宋体" w:cs="宋体"/>
          <w:lang w:val="en-US" w:eastAsia="zh-CN"/>
        </w:rPr>
      </w:pPr>
      <w:bookmarkStart w:id="0" w:name="_Hlk32567754"/>
      <w:r>
        <w:rPr>
          <w:rFonts w:ascii="宋体" w:hAnsi="宋体" w:cs="宋体"/>
        </w:rPr>
        <w:t>GB</w:t>
      </w:r>
      <w:r>
        <w:rPr>
          <w:rFonts w:hint="eastAsia" w:ascii="宋体" w:hAnsi="宋体" w:cs="宋体"/>
          <w:lang w:val="en-US" w:eastAsia="zh-CN"/>
        </w:rPr>
        <w:t>/T</w:t>
      </w:r>
      <w:r>
        <w:rPr>
          <w:rFonts w:ascii="宋体" w:hAnsi="宋体" w:cs="宋体"/>
        </w:rPr>
        <w:t xml:space="preserve"> </w:t>
      </w:r>
      <w:r>
        <w:rPr>
          <w:rFonts w:hint="eastAsia" w:ascii="宋体" w:hAnsi="宋体" w:cs="宋体"/>
          <w:lang w:val="en-US" w:eastAsia="zh-CN"/>
        </w:rPr>
        <w:t>209</w:t>
      </w:r>
      <w:r>
        <w:rPr>
          <w:rFonts w:hint="eastAsia" w:ascii="宋体" w:hAnsi="宋体" w:cs="宋体"/>
        </w:rPr>
        <w:t>-201</w:t>
      </w:r>
      <w:r>
        <w:rPr>
          <w:rFonts w:hint="eastAsia" w:ascii="宋体" w:hAnsi="宋体" w:cs="宋体"/>
          <w:lang w:val="en-US" w:eastAsia="zh-CN"/>
        </w:rPr>
        <w:t>8</w:t>
      </w:r>
      <w:r>
        <w:rPr>
          <w:rFonts w:ascii="宋体" w:hAnsi="宋体" w:cs="宋体"/>
        </w:rPr>
        <w:t xml:space="preserve"> </w:t>
      </w:r>
      <w:r>
        <w:rPr>
          <w:rFonts w:hint="eastAsia" w:ascii="宋体" w:hAnsi="宋体" w:cs="宋体"/>
          <w:lang w:val="en-US" w:eastAsia="zh-CN"/>
        </w:rPr>
        <w:t>工业用氢氧化钠</w:t>
      </w:r>
    </w:p>
    <w:p w14:paraId="6E4DD688">
      <w:pPr>
        <w:spacing w:line="440" w:lineRule="exact"/>
        <w:ind w:firstLine="420" w:firstLineChars="200"/>
        <w:rPr>
          <w:rFonts w:hint="eastAsia" w:ascii="宋体" w:hAnsi="宋体" w:cs="宋体"/>
          <w:lang w:val="en-US" w:eastAsia="zh-CN"/>
        </w:rPr>
      </w:pPr>
      <w:r>
        <w:rPr>
          <w:rFonts w:hint="eastAsia" w:ascii="宋体" w:hAnsi="宋体" w:cs="宋体"/>
          <w:lang w:val="en-US" w:eastAsia="zh-CN"/>
        </w:rPr>
        <w:t>GB/T 11199-2024 高纯氢氧化钠</w:t>
      </w:r>
    </w:p>
    <w:p w14:paraId="2ABD675A">
      <w:pPr>
        <w:spacing w:line="440" w:lineRule="exact"/>
        <w:ind w:firstLine="420" w:firstLineChars="200"/>
        <w:rPr>
          <w:rFonts w:hint="default" w:ascii="宋体" w:hAnsi="宋体" w:cs="宋体"/>
          <w:lang w:val="en-US" w:eastAsia="zh-CN"/>
        </w:rPr>
      </w:pPr>
      <w:r>
        <w:rPr>
          <w:rFonts w:hint="eastAsia" w:ascii="宋体" w:hAnsi="宋体" w:cs="宋体"/>
          <w:color w:val="000000"/>
          <w:kern w:val="0"/>
          <w:sz w:val="21"/>
          <w:szCs w:val="24"/>
          <w:lang w:val="en-US" w:eastAsia="zh-CN"/>
        </w:rPr>
        <w:t>GB</w:t>
      </w:r>
      <w:r>
        <w:rPr>
          <w:rFonts w:ascii="宋体" w:hAnsi="宋体" w:cs="宋体"/>
          <w:color w:val="000000"/>
          <w:kern w:val="0"/>
          <w:sz w:val="21"/>
          <w:szCs w:val="24"/>
        </w:rPr>
        <w:t xml:space="preserve">/T </w:t>
      </w:r>
      <w:r>
        <w:rPr>
          <w:rFonts w:hint="eastAsia" w:ascii="宋体" w:hAnsi="宋体" w:cs="宋体"/>
          <w:color w:val="000000"/>
          <w:kern w:val="0"/>
          <w:sz w:val="21"/>
          <w:szCs w:val="24"/>
          <w:lang w:val="en-US" w:eastAsia="zh-CN"/>
        </w:rPr>
        <w:t xml:space="preserve">320-2025 </w:t>
      </w:r>
      <w:r>
        <w:rPr>
          <w:rFonts w:hint="eastAsia" w:ascii="宋体" w:hAnsi="宋体" w:cs="宋体"/>
          <w:lang w:val="en-US" w:eastAsia="zh-CN"/>
        </w:rPr>
        <w:t xml:space="preserve"> 工业用合成盐酸</w:t>
      </w:r>
    </w:p>
    <w:bookmarkEnd w:id="0"/>
    <w:p w14:paraId="34E141DA">
      <w:pPr>
        <w:snapToGrid w:val="0"/>
        <w:spacing w:line="440" w:lineRule="exact"/>
        <w:ind w:firstLine="420" w:firstLineChars="200"/>
        <w:rPr>
          <w:color w:val="auto"/>
          <w:szCs w:val="21"/>
        </w:rPr>
      </w:pPr>
      <w:r>
        <w:rPr>
          <w:color w:val="auto"/>
          <w:szCs w:val="21"/>
        </w:rPr>
        <w:t>现行有效的企业标准、团体标准、地方标准及产品明示质量要求</w:t>
      </w:r>
    </w:p>
    <w:p w14:paraId="24DED790">
      <w:pPr>
        <w:snapToGrid w:val="0"/>
        <w:spacing w:line="440" w:lineRule="exact"/>
        <w:rPr>
          <w:color w:val="000000"/>
          <w:szCs w:val="21"/>
        </w:rPr>
      </w:pPr>
      <w:r>
        <w:rPr>
          <w:color w:val="000000"/>
          <w:szCs w:val="21"/>
        </w:rPr>
        <w:t>3.2判定原则</w:t>
      </w:r>
    </w:p>
    <w:p w14:paraId="5584B5BB">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14:paraId="5F77155B">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14:paraId="6A940C23">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14:paraId="06A8A737">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14:paraId="2E67BA25">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14:paraId="544D0D61">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14:paraId="2F5FC925">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506E580F">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4393D639">
      <w:pPr>
        <w:numPr>
          <w:ilvl w:val="0"/>
          <w:numId w:val="0"/>
        </w:numPr>
        <w:snapToGrid w:val="0"/>
        <w:spacing w:line="440" w:lineRule="exact"/>
        <w:rPr>
          <w:rFonts w:hint="default"/>
          <w:color w:val="FF0000"/>
          <w:szCs w:val="21"/>
          <w:lang w:val="en-US" w:eastAsia="zh-CN"/>
        </w:rPr>
      </w:pPr>
    </w:p>
    <w:p w14:paraId="724834DC">
      <w:pPr>
        <w:numPr>
          <w:ilvl w:val="0"/>
          <w:numId w:val="0"/>
        </w:numPr>
        <w:snapToGrid w:val="0"/>
        <w:spacing w:line="440" w:lineRule="exact"/>
        <w:rPr>
          <w:rFonts w:hint="default"/>
          <w:color w:val="FF0000"/>
          <w:sz w:val="24"/>
          <w:szCs w:val="24"/>
          <w:lang w:val="en-US" w:eastAsia="zh-CN"/>
        </w:rPr>
      </w:pPr>
    </w:p>
    <w:sectPr>
      <w:headerReference r:id="rId3" w:type="default"/>
      <w:footerReference r:id="rId4" w:type="default"/>
      <w:pgSz w:w="11906" w:h="16838"/>
      <w:pgMar w:top="1985" w:right="1474" w:bottom="1644" w:left="1474" w:header="851" w:footer="1191"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E3A6">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F2C556D">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CFEA">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2CD368D"/>
    <w:rsid w:val="09234C9E"/>
    <w:rsid w:val="0BF3562B"/>
    <w:rsid w:val="11473DDB"/>
    <w:rsid w:val="13A22947"/>
    <w:rsid w:val="18172432"/>
    <w:rsid w:val="1A784B4A"/>
    <w:rsid w:val="1B9113EA"/>
    <w:rsid w:val="22096B18"/>
    <w:rsid w:val="24207B2F"/>
    <w:rsid w:val="281E2746"/>
    <w:rsid w:val="2E7528CD"/>
    <w:rsid w:val="2E9760D2"/>
    <w:rsid w:val="36CC6514"/>
    <w:rsid w:val="38133FCB"/>
    <w:rsid w:val="49DB79B2"/>
    <w:rsid w:val="569128B3"/>
    <w:rsid w:val="575527A0"/>
    <w:rsid w:val="636B2161"/>
    <w:rsid w:val="637B4DE8"/>
    <w:rsid w:val="647FE99D"/>
    <w:rsid w:val="6C4072A3"/>
    <w:rsid w:val="6C511FF2"/>
    <w:rsid w:val="73CD18FF"/>
    <w:rsid w:val="7BEF7469"/>
    <w:rsid w:val="7EDB396C"/>
    <w:rsid w:val="A8DFAB3A"/>
    <w:rsid w:val="AFD613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803</Words>
  <Characters>1075</Characters>
  <Lines>6</Lines>
  <Paragraphs>1</Paragraphs>
  <TotalTime>7</TotalTime>
  <ScaleCrop>false</ScaleCrop>
  <LinksUpToDate>false</LinksUpToDate>
  <CharactersWithSpaces>1112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2020-01-01T08:57:00Z</dcterms:created>
  <dc:creator>Legend User</dc:creator>
  <cp:lastModifiedBy>可乐</cp:lastModifiedBy>
  <cp:lastPrinted>2022-02-25T00:43:00Z</cp:lastPrinted>
  <dcterms:modified xsi:type="dcterms:W3CDTF">2026-03-25T04:36:44Z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C26967224E674F57A6B454BD1A5C4D48</vt:lpwstr>
  </property>
  <property fmtid="{D5CDD505-2E9C-101B-9397-08002B2CF9AE}" pid="4" name="KSOTemplateDocerSaveRecord">
    <vt:lpwstr>eyJoZGlkIjoiOTYyNzA0MDUwZjQzYjlmODg3YTM4ZGJiZjZmMGQ0ZDMiLCJ1c2VySWQiOiIzODk4ODI2NTcifQ==</vt:lpwstr>
  </property>
</Properties>
</file>