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069DE">
      <w:pPr>
        <w:snapToGrid w:val="0"/>
        <w:spacing w:line="440" w:lineRule="exact"/>
        <w:ind w:firstLine="547" w:firstLineChars="171"/>
        <w:jc w:val="center"/>
        <w:rPr>
          <w:rFonts w:hint="eastAsia" w:ascii="方正小标宋简体" w:hAnsi="方正小标宋简体" w:eastAsia="方正小标宋简体" w:cs="方正小标宋简体"/>
          <w:color w:val="auto"/>
          <w:kern w:val="2"/>
          <w:sz w:val="32"/>
          <w:szCs w:val="32"/>
        </w:rPr>
      </w:pPr>
      <w:r>
        <w:rPr>
          <w:rFonts w:hint="eastAsia" w:ascii="方正小标宋简体" w:hAnsi="方正小标宋简体" w:eastAsia="方正小标宋简体" w:cs="方正小标宋简体"/>
          <w:color w:val="auto"/>
          <w:kern w:val="2"/>
          <w:sz w:val="32"/>
          <w:szCs w:val="32"/>
          <w:lang w:val="en-US" w:eastAsia="zh-CN"/>
        </w:rPr>
        <w:t>六安市车用尿素水溶液</w:t>
      </w:r>
      <w:r>
        <w:rPr>
          <w:rFonts w:hint="eastAsia" w:ascii="方正小标宋简体" w:hAnsi="方正小标宋简体" w:eastAsia="方正小标宋简体" w:cs="方正小标宋简体"/>
          <w:color w:val="auto"/>
          <w:kern w:val="2"/>
          <w:sz w:val="32"/>
          <w:szCs w:val="32"/>
        </w:rPr>
        <w:t>产品质量监督抽查实施细则</w:t>
      </w:r>
    </w:p>
    <w:p w14:paraId="2C83F22D">
      <w:pPr>
        <w:snapToGrid w:val="0"/>
        <w:spacing w:line="440" w:lineRule="exact"/>
        <w:rPr>
          <w:rFonts w:eastAsia="黑体"/>
          <w:color w:val="auto"/>
          <w:szCs w:val="21"/>
        </w:rPr>
      </w:pPr>
      <w:r>
        <w:rPr>
          <w:rFonts w:eastAsia="黑体"/>
          <w:color w:val="auto"/>
          <w:szCs w:val="21"/>
        </w:rPr>
        <w:t>1 抽样方法</w:t>
      </w:r>
    </w:p>
    <w:p w14:paraId="04FE1044">
      <w:pPr>
        <w:snapToGrid w:val="0"/>
        <w:spacing w:line="440" w:lineRule="exact"/>
        <w:ind w:firstLine="420" w:firstLineChars="200"/>
        <w:rPr>
          <w:color w:val="auto"/>
          <w:szCs w:val="21"/>
        </w:rPr>
      </w:pPr>
      <w:r>
        <w:rPr>
          <w:rFonts w:hint="eastAsia"/>
          <w:color w:val="auto"/>
          <w:szCs w:val="21"/>
          <w:lang w:val="en-US" w:eastAsia="zh-CN"/>
        </w:rPr>
        <w:t>抽取样品应为同一型号规格、同一批次的产品。</w:t>
      </w:r>
    </w:p>
    <w:p w14:paraId="44862BAB">
      <w:pPr>
        <w:snapToGrid w:val="0"/>
        <w:spacing w:line="440" w:lineRule="exact"/>
        <w:ind w:firstLine="420" w:firstLineChars="200"/>
        <w:rPr>
          <w:color w:val="auto"/>
          <w:szCs w:val="21"/>
        </w:rPr>
      </w:pPr>
      <w:r>
        <w:rPr>
          <w:color w:val="auto"/>
          <w:szCs w:val="21"/>
        </w:rPr>
        <w:t>以随机抽样的方式在被抽样生产者、销售者的待销产品中抽取。</w:t>
      </w:r>
    </w:p>
    <w:p w14:paraId="789B0B34">
      <w:pPr>
        <w:snapToGrid w:val="0"/>
        <w:spacing w:line="440" w:lineRule="exact"/>
        <w:ind w:firstLine="420" w:firstLineChars="200"/>
        <w:rPr>
          <w:rFonts w:ascii="宋体" w:hAnsi="宋体"/>
          <w:color w:val="auto"/>
          <w:szCs w:val="21"/>
        </w:rPr>
      </w:pPr>
      <w:r>
        <w:rPr>
          <w:rFonts w:hint="eastAsia" w:ascii="宋体" w:hAnsi="宋体"/>
          <w:color w:val="auto"/>
          <w:szCs w:val="21"/>
        </w:rPr>
        <w:t>随机数一般可使用随机数表等方法产生。</w:t>
      </w:r>
    </w:p>
    <w:p w14:paraId="0E85C87D">
      <w:pPr>
        <w:snapToGrid w:val="0"/>
        <w:spacing w:line="440" w:lineRule="exact"/>
        <w:ind w:firstLine="420" w:firstLineChars="200"/>
        <w:rPr>
          <w:rFonts w:hint="default" w:eastAsia="宋体"/>
          <w:color w:val="auto"/>
          <w:szCs w:val="21"/>
          <w:lang w:val="en-US" w:eastAsia="zh-CN"/>
        </w:rPr>
      </w:pPr>
      <w:r>
        <w:rPr>
          <w:color w:val="auto"/>
          <w:szCs w:val="21"/>
        </w:rPr>
        <w:t>每批次产品抽取样品</w:t>
      </w:r>
      <w:r>
        <w:rPr>
          <w:rFonts w:hint="eastAsia"/>
          <w:color w:val="auto"/>
          <w:szCs w:val="21"/>
          <w:lang w:val="en-US" w:eastAsia="zh-CN"/>
        </w:rPr>
        <w:t>不少于2kg×2（或2L×2）</w:t>
      </w:r>
      <w:r>
        <w:rPr>
          <w:color w:val="auto"/>
          <w:szCs w:val="21"/>
        </w:rPr>
        <w:t>，其中</w:t>
      </w:r>
      <w:r>
        <w:rPr>
          <w:rFonts w:hint="eastAsia" w:cs="Sim Sun" w:asciiTheme="minorEastAsia" w:hAnsiTheme="minorEastAsia" w:eastAsiaTheme="minorEastAsia"/>
          <w:color w:val="auto"/>
          <w:sz w:val="21"/>
          <w:szCs w:val="21"/>
          <w:lang w:val="en-US" w:eastAsia="zh-CN"/>
        </w:rPr>
        <w:t>1份</w:t>
      </w:r>
      <w:r>
        <w:rPr>
          <w:color w:val="auto"/>
          <w:szCs w:val="21"/>
        </w:rPr>
        <w:t>作为检验样品，</w:t>
      </w:r>
      <w:r>
        <w:rPr>
          <w:rFonts w:hint="eastAsia" w:cs="Sim Sun" w:asciiTheme="minorEastAsia" w:hAnsiTheme="minorEastAsia" w:eastAsiaTheme="minorEastAsia"/>
          <w:color w:val="auto"/>
          <w:sz w:val="21"/>
          <w:szCs w:val="21"/>
          <w:lang w:val="en-US" w:eastAsia="zh-CN"/>
        </w:rPr>
        <w:t>1份</w:t>
      </w:r>
      <w:r>
        <w:rPr>
          <w:color w:val="auto"/>
          <w:szCs w:val="21"/>
        </w:rPr>
        <w:t>作为备用样品</w:t>
      </w:r>
      <w:r>
        <w:rPr>
          <w:rFonts w:hint="eastAsia"/>
          <w:color w:val="auto"/>
          <w:szCs w:val="21"/>
          <w:lang w:eastAsia="zh-CN"/>
        </w:rPr>
        <w:t>，</w:t>
      </w:r>
      <w:r>
        <w:rPr>
          <w:rFonts w:hint="eastAsia"/>
          <w:color w:val="auto"/>
          <w:szCs w:val="21"/>
          <w:lang w:val="en-US" w:eastAsia="zh-CN"/>
        </w:rPr>
        <w:t>样品全部带回承检机构。</w:t>
      </w:r>
    </w:p>
    <w:p w14:paraId="55951EAA">
      <w:pPr>
        <w:snapToGrid w:val="0"/>
        <w:spacing w:line="440" w:lineRule="exact"/>
        <w:ind w:firstLine="420" w:firstLineChars="200"/>
        <w:rPr>
          <w:color w:val="auto"/>
          <w:szCs w:val="21"/>
        </w:rPr>
      </w:pPr>
    </w:p>
    <w:p w14:paraId="50DC9708">
      <w:pPr>
        <w:snapToGrid w:val="0"/>
        <w:spacing w:line="440" w:lineRule="exact"/>
        <w:rPr>
          <w:rFonts w:eastAsia="黑体"/>
          <w:color w:val="auto"/>
          <w:szCs w:val="21"/>
        </w:rPr>
      </w:pPr>
      <w:r>
        <w:rPr>
          <w:rFonts w:eastAsia="黑体"/>
          <w:color w:val="auto"/>
          <w:szCs w:val="21"/>
        </w:rPr>
        <w:t>2 检验依据</w:t>
      </w:r>
    </w:p>
    <w:p w14:paraId="1474331B">
      <w:pPr>
        <w:snapToGrid w:val="0"/>
        <w:spacing w:line="440" w:lineRule="exact"/>
        <w:rPr>
          <w:rFonts w:eastAsia="黑体"/>
          <w:color w:val="auto"/>
          <w:szCs w:val="21"/>
        </w:rPr>
      </w:pPr>
    </w:p>
    <w:tbl>
      <w:tblPr>
        <w:tblStyle w:val="7"/>
        <w:tblW w:w="7652" w:type="dxa"/>
        <w:jc w:val="center"/>
        <w:tblLayout w:type="fixed"/>
        <w:tblCellMar>
          <w:top w:w="0" w:type="dxa"/>
          <w:left w:w="108" w:type="dxa"/>
          <w:bottom w:w="0" w:type="dxa"/>
          <w:right w:w="108" w:type="dxa"/>
        </w:tblCellMar>
      </w:tblPr>
      <w:tblGrid>
        <w:gridCol w:w="1187"/>
        <w:gridCol w:w="3615"/>
        <w:gridCol w:w="2850"/>
      </w:tblGrid>
      <w:tr w14:paraId="1596CB74">
        <w:tblPrEx>
          <w:tblCellMar>
            <w:top w:w="0" w:type="dxa"/>
            <w:left w:w="108" w:type="dxa"/>
            <w:bottom w:w="0" w:type="dxa"/>
            <w:right w:w="108" w:type="dxa"/>
          </w:tblCellMar>
        </w:tblPrEx>
        <w:trPr>
          <w:trHeight w:val="375" w:hRule="atLeast"/>
          <w:tblHeader/>
          <w:jc w:val="center"/>
        </w:trPr>
        <w:tc>
          <w:tcPr>
            <w:tcW w:w="1187" w:type="dxa"/>
            <w:vMerge w:val="restart"/>
            <w:tcBorders>
              <w:top w:val="single" w:color="auto" w:sz="8" w:space="0"/>
              <w:left w:val="single" w:color="auto" w:sz="8" w:space="0"/>
              <w:bottom w:val="single" w:color="000000" w:sz="8" w:space="0"/>
              <w:right w:val="single" w:color="auto" w:sz="8" w:space="0"/>
            </w:tcBorders>
            <w:vAlign w:val="center"/>
          </w:tcPr>
          <w:p w14:paraId="5EC89897">
            <w:pPr>
              <w:adjustRightInd/>
              <w:snapToGrid/>
              <w:spacing w:after="0"/>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序号</w:t>
            </w:r>
          </w:p>
        </w:tc>
        <w:tc>
          <w:tcPr>
            <w:tcW w:w="3615" w:type="dxa"/>
            <w:vMerge w:val="restart"/>
            <w:tcBorders>
              <w:top w:val="single" w:color="auto" w:sz="8" w:space="0"/>
              <w:left w:val="single" w:color="auto" w:sz="8" w:space="0"/>
              <w:bottom w:val="single" w:color="000000" w:sz="8" w:space="0"/>
              <w:right w:val="single" w:color="auto" w:sz="8" w:space="0"/>
            </w:tcBorders>
            <w:vAlign w:val="center"/>
          </w:tcPr>
          <w:p w14:paraId="55F28B2A">
            <w:pPr>
              <w:adjustRightInd/>
              <w:snapToGrid/>
              <w:spacing w:after="0"/>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检验项目</w:t>
            </w:r>
          </w:p>
        </w:tc>
        <w:tc>
          <w:tcPr>
            <w:tcW w:w="2850" w:type="dxa"/>
            <w:vMerge w:val="restart"/>
            <w:tcBorders>
              <w:top w:val="single" w:color="auto" w:sz="8" w:space="0"/>
              <w:left w:val="single" w:color="auto" w:sz="8" w:space="0"/>
              <w:bottom w:val="single" w:color="000000" w:sz="8" w:space="0"/>
              <w:right w:val="single" w:color="auto" w:sz="8" w:space="0"/>
            </w:tcBorders>
            <w:vAlign w:val="center"/>
          </w:tcPr>
          <w:p w14:paraId="084CFD0A">
            <w:pPr>
              <w:adjustRightInd/>
              <w:snapToGrid/>
              <w:spacing w:after="0"/>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检测方法</w:t>
            </w:r>
          </w:p>
        </w:tc>
      </w:tr>
      <w:tr w14:paraId="590E2380">
        <w:tblPrEx>
          <w:tblCellMar>
            <w:top w:w="0" w:type="dxa"/>
            <w:left w:w="108" w:type="dxa"/>
            <w:bottom w:w="0" w:type="dxa"/>
            <w:right w:w="108" w:type="dxa"/>
          </w:tblCellMar>
        </w:tblPrEx>
        <w:trPr>
          <w:trHeight w:val="345" w:hRule="atLeast"/>
          <w:tblHeader/>
          <w:jc w:val="center"/>
        </w:trPr>
        <w:tc>
          <w:tcPr>
            <w:tcW w:w="1187" w:type="dxa"/>
            <w:vMerge w:val="continue"/>
            <w:tcBorders>
              <w:top w:val="single" w:color="auto" w:sz="8" w:space="0"/>
              <w:left w:val="single" w:color="auto" w:sz="8" w:space="0"/>
              <w:bottom w:val="single" w:color="auto" w:sz="4" w:space="0"/>
              <w:right w:val="single" w:color="auto" w:sz="8" w:space="0"/>
            </w:tcBorders>
            <w:vAlign w:val="center"/>
          </w:tcPr>
          <w:p w14:paraId="4F6AC9AC">
            <w:pPr>
              <w:adjustRightInd/>
              <w:snapToGrid/>
              <w:spacing w:after="0"/>
              <w:jc w:val="center"/>
              <w:rPr>
                <w:rFonts w:cs="宋体" w:asciiTheme="minorEastAsia" w:hAnsiTheme="minorEastAsia" w:eastAsiaTheme="minorEastAsia"/>
                <w:color w:val="auto"/>
                <w:sz w:val="21"/>
                <w:szCs w:val="21"/>
              </w:rPr>
            </w:pPr>
          </w:p>
        </w:tc>
        <w:tc>
          <w:tcPr>
            <w:tcW w:w="3615" w:type="dxa"/>
            <w:vMerge w:val="continue"/>
            <w:tcBorders>
              <w:top w:val="single" w:color="auto" w:sz="8" w:space="0"/>
              <w:left w:val="single" w:color="auto" w:sz="8" w:space="0"/>
              <w:bottom w:val="single" w:color="auto" w:sz="4" w:space="0"/>
              <w:right w:val="single" w:color="auto" w:sz="8" w:space="0"/>
            </w:tcBorders>
            <w:vAlign w:val="center"/>
          </w:tcPr>
          <w:p w14:paraId="7A12939F">
            <w:pPr>
              <w:adjustRightInd/>
              <w:snapToGrid/>
              <w:spacing w:after="0"/>
              <w:jc w:val="center"/>
              <w:rPr>
                <w:rFonts w:cs="宋体" w:asciiTheme="minorEastAsia" w:hAnsiTheme="minorEastAsia" w:eastAsiaTheme="minorEastAsia"/>
                <w:color w:val="auto"/>
                <w:sz w:val="21"/>
                <w:szCs w:val="21"/>
              </w:rPr>
            </w:pPr>
          </w:p>
        </w:tc>
        <w:tc>
          <w:tcPr>
            <w:tcW w:w="2850" w:type="dxa"/>
            <w:vMerge w:val="continue"/>
            <w:tcBorders>
              <w:top w:val="single" w:color="auto" w:sz="8" w:space="0"/>
              <w:left w:val="single" w:color="auto" w:sz="8" w:space="0"/>
              <w:bottom w:val="single" w:color="auto" w:sz="4" w:space="0"/>
              <w:right w:val="single" w:color="auto" w:sz="8" w:space="0"/>
            </w:tcBorders>
            <w:vAlign w:val="center"/>
          </w:tcPr>
          <w:p w14:paraId="7DAA5636">
            <w:pPr>
              <w:adjustRightInd/>
              <w:snapToGrid/>
              <w:spacing w:after="0"/>
              <w:jc w:val="center"/>
              <w:rPr>
                <w:rFonts w:cs="宋体" w:asciiTheme="minorEastAsia" w:hAnsiTheme="minorEastAsia" w:eastAsiaTheme="minorEastAsia"/>
                <w:color w:val="auto"/>
                <w:sz w:val="21"/>
                <w:szCs w:val="21"/>
              </w:rPr>
            </w:pPr>
          </w:p>
        </w:tc>
      </w:tr>
      <w:tr w14:paraId="05EC88D9">
        <w:trPr>
          <w:trHeight w:val="555"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332B5BD9">
            <w:pPr>
              <w:adjustRightInd/>
              <w:snapToGrid/>
              <w:spacing w:after="0"/>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1</w:t>
            </w:r>
          </w:p>
        </w:tc>
        <w:tc>
          <w:tcPr>
            <w:tcW w:w="3615" w:type="dxa"/>
            <w:tcBorders>
              <w:top w:val="single" w:color="auto" w:sz="4" w:space="0"/>
              <w:left w:val="single" w:color="auto" w:sz="4" w:space="0"/>
              <w:bottom w:val="single" w:color="auto" w:sz="4" w:space="0"/>
              <w:right w:val="single" w:color="auto" w:sz="4" w:space="0"/>
            </w:tcBorders>
            <w:vAlign w:val="center"/>
          </w:tcPr>
          <w:p w14:paraId="78C69C7E">
            <w:pPr>
              <w:widowControl/>
              <w:jc w:val="center"/>
              <w:textAlignment w:val="center"/>
              <w:rPr>
                <w:rFonts w:cs="宋体" w:asciiTheme="minorEastAsia" w:hAnsiTheme="minorEastAsia" w:eastAsiaTheme="minorEastAsia"/>
                <w:color w:val="auto"/>
                <w:sz w:val="21"/>
                <w:szCs w:val="21"/>
              </w:rPr>
            </w:pPr>
            <w:r>
              <w:rPr>
                <w:rFonts w:hint="eastAsia" w:ascii="宋体" w:hAnsi="宋体" w:cs="宋体"/>
                <w:kern w:val="0"/>
              </w:rPr>
              <w:t>尿素含量</w:t>
            </w:r>
          </w:p>
        </w:tc>
        <w:tc>
          <w:tcPr>
            <w:tcW w:w="2850" w:type="dxa"/>
            <w:tcBorders>
              <w:top w:val="single" w:color="auto" w:sz="4" w:space="0"/>
              <w:left w:val="single" w:color="auto" w:sz="4" w:space="0"/>
              <w:bottom w:val="single" w:color="auto" w:sz="4" w:space="0"/>
              <w:right w:val="single" w:color="auto" w:sz="4" w:space="0"/>
            </w:tcBorders>
            <w:vAlign w:val="center"/>
          </w:tcPr>
          <w:p w14:paraId="5C5845CE">
            <w:pPr>
              <w:jc w:val="center"/>
              <w:rPr>
                <w:rFonts w:hint="default" w:ascii="宋体" w:hAnsi="宋体" w:eastAsia="宋体" w:cs="宋体"/>
                <w:kern w:val="0"/>
                <w:sz w:val="21"/>
                <w:szCs w:val="24"/>
                <w:lang w:val="en-US" w:eastAsia="zh-CN" w:bidi="ar-SA"/>
              </w:rPr>
            </w:pPr>
            <w:r>
              <w:rPr>
                <w:rFonts w:hint="eastAsia" w:ascii="宋体" w:hAnsi="宋体" w:cs="宋体"/>
                <w:kern w:val="0"/>
              </w:rPr>
              <w:t>GB 29518</w:t>
            </w:r>
            <w:r>
              <w:rPr>
                <w:rFonts w:hint="eastAsia" w:ascii="宋体" w:hAnsi="宋体" w:cs="宋体"/>
                <w:kern w:val="0"/>
                <w:lang w:val="en-US" w:eastAsia="zh-CN"/>
              </w:rPr>
              <w:t xml:space="preserve"> </w:t>
            </w:r>
            <w:r>
              <w:rPr>
                <w:rFonts w:hint="eastAsia" w:ascii="宋体" w:hAnsi="宋体" w:cs="宋体"/>
                <w:kern w:val="0"/>
              </w:rPr>
              <w:t>附录A</w:t>
            </w:r>
          </w:p>
        </w:tc>
      </w:tr>
      <w:tr w14:paraId="21106859">
        <w:tblPrEx>
          <w:tblCellMar>
            <w:top w:w="0" w:type="dxa"/>
            <w:left w:w="108" w:type="dxa"/>
            <w:bottom w:w="0" w:type="dxa"/>
            <w:right w:w="108" w:type="dxa"/>
          </w:tblCellMar>
        </w:tblPrEx>
        <w:trPr>
          <w:trHeight w:val="566"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4A9CD2DE">
            <w:pPr>
              <w:adjustRightInd/>
              <w:snapToGrid/>
              <w:spacing w:after="0"/>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2</w:t>
            </w:r>
          </w:p>
        </w:tc>
        <w:tc>
          <w:tcPr>
            <w:tcW w:w="3615" w:type="dxa"/>
            <w:tcBorders>
              <w:top w:val="single" w:color="auto" w:sz="4" w:space="0"/>
              <w:left w:val="single" w:color="auto" w:sz="4" w:space="0"/>
              <w:bottom w:val="single" w:color="auto" w:sz="4" w:space="0"/>
              <w:right w:val="single" w:color="auto" w:sz="4" w:space="0"/>
            </w:tcBorders>
            <w:vAlign w:val="center"/>
          </w:tcPr>
          <w:p w14:paraId="596CC0C0">
            <w:pPr>
              <w:widowControl/>
              <w:jc w:val="center"/>
              <w:textAlignment w:val="center"/>
              <w:rPr>
                <w:rFonts w:cs="宋体" w:asciiTheme="minorEastAsia" w:hAnsiTheme="minorEastAsia" w:eastAsiaTheme="minorEastAsia"/>
                <w:color w:val="auto"/>
                <w:sz w:val="21"/>
                <w:szCs w:val="21"/>
              </w:rPr>
            </w:pPr>
            <w:r>
              <w:rPr>
                <w:rFonts w:hint="eastAsia" w:ascii="宋体" w:hAnsi="宋体" w:cs="宋体"/>
                <w:kern w:val="0"/>
              </w:rPr>
              <w:t>密度</w:t>
            </w:r>
          </w:p>
        </w:tc>
        <w:tc>
          <w:tcPr>
            <w:tcW w:w="2850" w:type="dxa"/>
            <w:tcBorders>
              <w:top w:val="single" w:color="auto" w:sz="4" w:space="0"/>
              <w:left w:val="single" w:color="auto" w:sz="4" w:space="0"/>
              <w:bottom w:val="single" w:color="auto" w:sz="4" w:space="0"/>
              <w:right w:val="single" w:color="auto" w:sz="4" w:space="0"/>
            </w:tcBorders>
            <w:vAlign w:val="center"/>
          </w:tcPr>
          <w:p w14:paraId="1291AB0A">
            <w:pPr>
              <w:jc w:val="center"/>
              <w:rPr>
                <w:rFonts w:hint="default" w:ascii="宋体" w:hAnsi="宋体" w:eastAsia="宋体" w:cs="宋体"/>
                <w:kern w:val="0"/>
                <w:sz w:val="21"/>
                <w:szCs w:val="24"/>
                <w:lang w:val="en-US" w:eastAsia="zh-CN" w:bidi="ar-SA"/>
              </w:rPr>
            </w:pPr>
            <w:r>
              <w:rPr>
                <w:rFonts w:hint="eastAsia" w:ascii="宋体" w:hAnsi="宋体" w:cs="宋体"/>
                <w:kern w:val="0"/>
              </w:rPr>
              <w:t>SH/T</w:t>
            </w:r>
            <w:r>
              <w:rPr>
                <w:rFonts w:hint="eastAsia" w:ascii="宋体" w:hAnsi="宋体" w:cs="宋体"/>
                <w:kern w:val="0"/>
                <w:lang w:val="en-US" w:eastAsia="zh-CN"/>
              </w:rPr>
              <w:t xml:space="preserve"> </w:t>
            </w:r>
            <w:r>
              <w:rPr>
                <w:rFonts w:hint="eastAsia" w:ascii="宋体" w:hAnsi="宋体" w:cs="宋体"/>
                <w:kern w:val="0"/>
              </w:rPr>
              <w:t>0604</w:t>
            </w:r>
            <w:bookmarkStart w:id="0" w:name="_GoBack"/>
            <w:bookmarkEnd w:id="0"/>
          </w:p>
        </w:tc>
      </w:tr>
      <w:tr w14:paraId="15E2472F">
        <w:tblPrEx>
          <w:tblCellMar>
            <w:top w:w="0" w:type="dxa"/>
            <w:left w:w="108" w:type="dxa"/>
            <w:bottom w:w="0" w:type="dxa"/>
            <w:right w:w="108" w:type="dxa"/>
          </w:tblCellMar>
        </w:tblPrEx>
        <w:trPr>
          <w:trHeight w:val="596"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32DDF9BA">
            <w:pPr>
              <w:adjustRightInd/>
              <w:snapToGrid/>
              <w:spacing w:after="0"/>
              <w:jc w:val="center"/>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3</w:t>
            </w:r>
          </w:p>
        </w:tc>
        <w:tc>
          <w:tcPr>
            <w:tcW w:w="3615" w:type="dxa"/>
            <w:tcBorders>
              <w:top w:val="single" w:color="auto" w:sz="4" w:space="0"/>
              <w:left w:val="single" w:color="auto" w:sz="4" w:space="0"/>
              <w:bottom w:val="single" w:color="auto" w:sz="4" w:space="0"/>
              <w:right w:val="single" w:color="auto" w:sz="4" w:space="0"/>
            </w:tcBorders>
            <w:vAlign w:val="center"/>
          </w:tcPr>
          <w:p w14:paraId="56B11C52">
            <w:pPr>
              <w:widowControl/>
              <w:jc w:val="center"/>
              <w:textAlignment w:val="center"/>
              <w:rPr>
                <w:rFonts w:cs="宋体" w:asciiTheme="minorEastAsia" w:hAnsiTheme="minorEastAsia" w:eastAsiaTheme="minorEastAsia"/>
                <w:color w:val="auto"/>
                <w:sz w:val="21"/>
                <w:szCs w:val="21"/>
              </w:rPr>
            </w:pPr>
            <w:r>
              <w:rPr>
                <w:rFonts w:hint="eastAsia" w:ascii="宋体" w:hAnsi="宋体" w:cs="宋体"/>
                <w:kern w:val="0"/>
              </w:rPr>
              <w:t>折光率</w:t>
            </w:r>
          </w:p>
        </w:tc>
        <w:tc>
          <w:tcPr>
            <w:tcW w:w="2850" w:type="dxa"/>
            <w:tcBorders>
              <w:top w:val="single" w:color="auto" w:sz="4" w:space="0"/>
              <w:left w:val="single" w:color="auto" w:sz="4" w:space="0"/>
              <w:bottom w:val="single" w:color="auto" w:sz="4" w:space="0"/>
              <w:right w:val="single" w:color="auto" w:sz="4" w:space="0"/>
            </w:tcBorders>
            <w:vAlign w:val="center"/>
          </w:tcPr>
          <w:p w14:paraId="4012A6B4">
            <w:pPr>
              <w:jc w:val="center"/>
              <w:rPr>
                <w:rFonts w:hint="default" w:ascii="宋体" w:hAnsi="宋体" w:eastAsia="宋体" w:cs="宋体"/>
                <w:kern w:val="0"/>
                <w:sz w:val="21"/>
                <w:szCs w:val="24"/>
                <w:lang w:val="en-US" w:eastAsia="zh-CN" w:bidi="ar-SA"/>
              </w:rPr>
            </w:pPr>
            <w:r>
              <w:fldChar w:fldCharType="begin"/>
            </w:r>
            <w:r>
              <w:instrText xml:space="preserve"> HYPERLINK "http://www.csres.com/detail/369834.html" \t "http://www.csres.com/_blank" </w:instrText>
            </w:r>
            <w:r>
              <w:fldChar w:fldCharType="separate"/>
            </w:r>
            <w:r>
              <w:rPr>
                <w:rFonts w:ascii="宋体" w:hAnsi="宋体" w:cs="宋体"/>
                <w:kern w:val="0"/>
              </w:rPr>
              <w:t>GB/T 614</w:t>
            </w:r>
            <w:r>
              <w:rPr>
                <w:rFonts w:ascii="宋体" w:hAnsi="宋体" w:cs="宋体"/>
                <w:kern w:val="0"/>
              </w:rPr>
              <w:fldChar w:fldCharType="end"/>
            </w:r>
          </w:p>
        </w:tc>
      </w:tr>
      <w:tr w14:paraId="4B7C06EB">
        <w:tblPrEx>
          <w:tblCellMar>
            <w:top w:w="0" w:type="dxa"/>
            <w:left w:w="108" w:type="dxa"/>
            <w:bottom w:w="0" w:type="dxa"/>
            <w:right w:w="108" w:type="dxa"/>
          </w:tblCellMar>
        </w:tblPrEx>
        <w:trPr>
          <w:trHeight w:val="601"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3FC9DC4E">
            <w:pPr>
              <w:adjustRightInd/>
              <w:snapToGrid/>
              <w:spacing w:after="0"/>
              <w:jc w:val="center"/>
              <w:rPr>
                <w:rFonts w:hint="eastAsia" w:cs="宋体" w:asciiTheme="minorEastAsia" w:hAnsiTheme="minorEastAsia" w:eastAsiaTheme="minorEastAsia"/>
                <w:color w:val="auto"/>
                <w:sz w:val="21"/>
                <w:szCs w:val="21"/>
                <w:lang w:eastAsia="zh-CN"/>
              </w:rPr>
            </w:pPr>
            <w:r>
              <w:rPr>
                <w:rFonts w:hint="eastAsia" w:cs="宋体" w:asciiTheme="minorEastAsia" w:hAnsiTheme="minorEastAsia" w:eastAsiaTheme="minorEastAsia"/>
                <w:color w:val="auto"/>
                <w:sz w:val="21"/>
                <w:szCs w:val="21"/>
                <w:lang w:val="en-US" w:eastAsia="zh-CN"/>
              </w:rPr>
              <w:t>4</w:t>
            </w:r>
          </w:p>
        </w:tc>
        <w:tc>
          <w:tcPr>
            <w:tcW w:w="3615" w:type="dxa"/>
            <w:tcBorders>
              <w:top w:val="single" w:color="auto" w:sz="4" w:space="0"/>
              <w:left w:val="single" w:color="auto" w:sz="4" w:space="0"/>
              <w:bottom w:val="single" w:color="auto" w:sz="4" w:space="0"/>
              <w:right w:val="single" w:color="auto" w:sz="4" w:space="0"/>
            </w:tcBorders>
            <w:vAlign w:val="center"/>
          </w:tcPr>
          <w:p w14:paraId="6E6856B5">
            <w:pPr>
              <w:widowControl/>
              <w:jc w:val="center"/>
              <w:textAlignment w:val="center"/>
              <w:rPr>
                <w:rFonts w:cs="宋体" w:asciiTheme="minorEastAsia" w:hAnsiTheme="minorEastAsia" w:eastAsiaTheme="minorEastAsia"/>
                <w:color w:val="auto"/>
                <w:sz w:val="21"/>
                <w:szCs w:val="21"/>
              </w:rPr>
            </w:pPr>
            <w:r>
              <w:rPr>
                <w:rFonts w:hint="eastAsia" w:ascii="宋体" w:hAnsi="宋体" w:cs="宋体"/>
                <w:kern w:val="0"/>
              </w:rPr>
              <w:t>缩二脲</w:t>
            </w:r>
          </w:p>
        </w:tc>
        <w:tc>
          <w:tcPr>
            <w:tcW w:w="2850" w:type="dxa"/>
            <w:tcBorders>
              <w:top w:val="single" w:color="auto" w:sz="4" w:space="0"/>
              <w:left w:val="single" w:color="auto" w:sz="4" w:space="0"/>
              <w:bottom w:val="single" w:color="auto" w:sz="4" w:space="0"/>
              <w:right w:val="single" w:color="auto" w:sz="4" w:space="0"/>
            </w:tcBorders>
            <w:vAlign w:val="center"/>
          </w:tcPr>
          <w:p w14:paraId="4A704D47">
            <w:pPr>
              <w:jc w:val="center"/>
              <w:rPr>
                <w:rFonts w:hint="default" w:ascii="宋体" w:hAnsi="宋体" w:eastAsia="宋体" w:cs="宋体"/>
                <w:kern w:val="0"/>
                <w:sz w:val="21"/>
                <w:szCs w:val="24"/>
                <w:lang w:val="en-US" w:eastAsia="zh-CN" w:bidi="ar-SA"/>
              </w:rPr>
            </w:pPr>
            <w:r>
              <w:rPr>
                <w:rFonts w:hint="eastAsia" w:ascii="宋体" w:hAnsi="宋体" w:cs="宋体"/>
                <w:kern w:val="0"/>
              </w:rPr>
              <w:t>GB 29518</w:t>
            </w:r>
            <w:r>
              <w:rPr>
                <w:rFonts w:hint="eastAsia" w:ascii="宋体" w:hAnsi="宋体" w:cs="宋体"/>
                <w:kern w:val="0"/>
                <w:lang w:val="en-US" w:eastAsia="zh-CN"/>
              </w:rPr>
              <w:t xml:space="preserve"> </w:t>
            </w:r>
            <w:r>
              <w:rPr>
                <w:rFonts w:hint="eastAsia" w:ascii="宋体" w:hAnsi="宋体" w:cs="宋体"/>
                <w:kern w:val="0"/>
              </w:rPr>
              <w:t>附录C</w:t>
            </w:r>
          </w:p>
        </w:tc>
      </w:tr>
      <w:tr w14:paraId="2F928EE2">
        <w:tblPrEx>
          <w:tblCellMar>
            <w:top w:w="0" w:type="dxa"/>
            <w:left w:w="108" w:type="dxa"/>
            <w:bottom w:w="0" w:type="dxa"/>
            <w:right w:w="108" w:type="dxa"/>
          </w:tblCellMar>
        </w:tblPrEx>
        <w:trPr>
          <w:trHeight w:val="455" w:hRule="atLeast"/>
          <w:jc w:val="center"/>
        </w:trPr>
        <w:tc>
          <w:tcPr>
            <w:tcW w:w="1187" w:type="dxa"/>
            <w:tcBorders>
              <w:top w:val="single" w:color="auto" w:sz="4" w:space="0"/>
              <w:left w:val="single" w:color="auto" w:sz="4" w:space="0"/>
              <w:bottom w:val="single" w:color="auto" w:sz="4" w:space="0"/>
              <w:right w:val="single" w:color="auto" w:sz="4" w:space="0"/>
            </w:tcBorders>
            <w:vAlign w:val="center"/>
          </w:tcPr>
          <w:p w14:paraId="6B643D90">
            <w:pPr>
              <w:adjustRightInd/>
              <w:snapToGrid/>
              <w:spacing w:after="0"/>
              <w:jc w:val="center"/>
              <w:rPr>
                <w:rFonts w:hint="default" w:cs="宋体" w:asciiTheme="minorEastAsia" w:hAnsiTheme="minorEastAsia" w:eastAsiaTheme="minorEastAsia"/>
                <w:color w:val="FF0000"/>
                <w:sz w:val="21"/>
                <w:szCs w:val="21"/>
                <w:lang w:val="en-US" w:eastAsia="zh-CN"/>
              </w:rPr>
            </w:pPr>
            <w:r>
              <w:rPr>
                <w:rFonts w:hint="eastAsia" w:cs="宋体" w:asciiTheme="minorEastAsia" w:hAnsiTheme="minorEastAsia" w:eastAsiaTheme="minorEastAsia"/>
                <w:color w:val="000000" w:themeColor="text1"/>
                <w:sz w:val="21"/>
                <w:szCs w:val="21"/>
                <w:lang w:val="en-US" w:eastAsia="zh-CN"/>
                <w14:textFill>
                  <w14:solidFill>
                    <w14:schemeClr w14:val="tx1"/>
                  </w14:solidFill>
                </w14:textFill>
              </w:rPr>
              <w:t>5</w:t>
            </w:r>
          </w:p>
        </w:tc>
        <w:tc>
          <w:tcPr>
            <w:tcW w:w="3615" w:type="dxa"/>
            <w:tcBorders>
              <w:top w:val="single" w:color="auto" w:sz="4" w:space="0"/>
              <w:left w:val="single" w:color="auto" w:sz="4" w:space="0"/>
              <w:bottom w:val="single" w:color="auto" w:sz="4" w:space="0"/>
              <w:right w:val="single" w:color="auto" w:sz="4" w:space="0"/>
            </w:tcBorders>
            <w:vAlign w:val="center"/>
          </w:tcPr>
          <w:p w14:paraId="697B7289">
            <w:pPr>
              <w:widowControl/>
              <w:jc w:val="center"/>
              <w:textAlignment w:val="center"/>
              <w:rPr>
                <w:rFonts w:hint="eastAsia" w:cs="宋体"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kern w:val="0"/>
                <w14:textFill>
                  <w14:solidFill>
                    <w14:schemeClr w14:val="tx1"/>
                  </w14:solidFill>
                </w14:textFill>
              </w:rPr>
              <w:t>一致性确认</w:t>
            </w:r>
          </w:p>
        </w:tc>
        <w:tc>
          <w:tcPr>
            <w:tcW w:w="2850" w:type="dxa"/>
            <w:tcBorders>
              <w:top w:val="single" w:color="auto" w:sz="4" w:space="0"/>
              <w:left w:val="single" w:color="auto" w:sz="4" w:space="0"/>
              <w:bottom w:val="single" w:color="auto" w:sz="4" w:space="0"/>
              <w:right w:val="single" w:color="auto" w:sz="4" w:space="0"/>
            </w:tcBorders>
            <w:vAlign w:val="center"/>
          </w:tcPr>
          <w:p w14:paraId="0BE89E5E">
            <w:pPr>
              <w:adjustRightInd/>
              <w:snapToGrid/>
              <w:spacing w:after="0"/>
              <w:jc w:val="center"/>
              <w:rPr>
                <w:rFonts w:cs="宋体"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kern w:val="0"/>
                <w14:textFill>
                  <w14:solidFill>
                    <w14:schemeClr w14:val="tx1"/>
                  </w14:solidFill>
                </w14:textFill>
              </w:rPr>
              <w:t>GB 29518</w:t>
            </w:r>
            <w:r>
              <w:rPr>
                <w:rFonts w:hint="eastAsia" w:ascii="宋体" w:hAnsi="宋体" w:cs="宋体"/>
                <w:color w:val="000000" w:themeColor="text1"/>
                <w:kern w:val="0"/>
                <w:lang w:val="en-US" w:eastAsia="zh-CN"/>
                <w14:textFill>
                  <w14:solidFill>
                    <w14:schemeClr w14:val="tx1"/>
                  </w14:solidFill>
                </w14:textFill>
              </w:rPr>
              <w:t xml:space="preserve"> </w:t>
            </w:r>
            <w:r>
              <w:rPr>
                <w:rFonts w:hint="eastAsia" w:ascii="宋体" w:hAnsi="宋体" w:cs="宋体"/>
                <w:color w:val="000000" w:themeColor="text1"/>
                <w:kern w:val="0"/>
                <w14:textFill>
                  <w14:solidFill>
                    <w14:schemeClr w14:val="tx1"/>
                  </w14:solidFill>
                </w14:textFill>
              </w:rPr>
              <w:t>附录H</w:t>
            </w:r>
          </w:p>
        </w:tc>
      </w:tr>
    </w:tbl>
    <w:p w14:paraId="20FBC5D1">
      <w:pPr>
        <w:snapToGrid w:val="0"/>
        <w:spacing w:line="440" w:lineRule="exact"/>
        <w:rPr>
          <w:rFonts w:eastAsia="黑体"/>
          <w:color w:val="auto"/>
          <w:szCs w:val="21"/>
        </w:rPr>
      </w:pPr>
    </w:p>
    <w:p w14:paraId="4A3F01B3">
      <w:pPr>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14:paraId="36125323">
      <w:pPr>
        <w:snapToGrid w:val="0"/>
        <w:spacing w:line="440" w:lineRule="exact"/>
        <w:ind w:firstLine="420" w:firstLineChars="200"/>
        <w:rPr>
          <w:rFonts w:eastAsiaTheme="minorEastAsia"/>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14:paraId="16258020">
      <w:pPr>
        <w:spacing w:beforeLines="50" w:line="360" w:lineRule="auto"/>
        <w:rPr>
          <w:rFonts w:eastAsia="黑体"/>
          <w:color w:val="auto"/>
          <w:szCs w:val="21"/>
        </w:rPr>
      </w:pPr>
      <w:r>
        <w:rPr>
          <w:rFonts w:eastAsia="黑体"/>
          <w:color w:val="auto"/>
          <w:szCs w:val="21"/>
        </w:rPr>
        <w:t>3 判定规则</w:t>
      </w:r>
    </w:p>
    <w:p w14:paraId="499C71FC">
      <w:pPr>
        <w:snapToGrid w:val="0"/>
        <w:spacing w:line="440" w:lineRule="exact"/>
        <w:rPr>
          <w:color w:val="auto"/>
          <w:szCs w:val="21"/>
        </w:rPr>
      </w:pPr>
      <w:r>
        <w:rPr>
          <w:color w:val="auto"/>
          <w:szCs w:val="21"/>
        </w:rPr>
        <w:t>3.1依据标准</w:t>
      </w:r>
    </w:p>
    <w:p w14:paraId="24B1804B">
      <w:pPr>
        <w:snapToGrid w:val="0"/>
        <w:spacing w:line="440" w:lineRule="exact"/>
        <w:ind w:firstLine="420" w:firstLineChars="200"/>
        <w:rPr>
          <w:rFonts w:hint="eastAsia" w:eastAsia="宋体"/>
          <w:color w:val="auto"/>
          <w:szCs w:val="21"/>
          <w:lang w:val="en-US" w:eastAsia="zh-CN"/>
        </w:rPr>
      </w:pPr>
      <w:r>
        <w:rPr>
          <w:rFonts w:hint="eastAsia"/>
          <w:color w:val="auto"/>
          <w:szCs w:val="21"/>
        </w:rPr>
        <w:t>GB 29518-2013</w:t>
      </w:r>
      <w:r>
        <w:rPr>
          <w:rFonts w:hint="eastAsia"/>
          <w:color w:val="auto"/>
          <w:szCs w:val="21"/>
          <w:lang w:val="en-US" w:eastAsia="zh-CN"/>
        </w:rPr>
        <w:t xml:space="preserve"> 柴油发动机氮氧化物还原剂 尿素水溶液（AUS 32）</w:t>
      </w:r>
    </w:p>
    <w:p w14:paraId="3B3FF6E3">
      <w:pPr>
        <w:snapToGrid w:val="0"/>
        <w:spacing w:line="440" w:lineRule="exact"/>
        <w:ind w:firstLine="420" w:firstLineChars="200"/>
        <w:rPr>
          <w:color w:val="auto"/>
          <w:szCs w:val="21"/>
        </w:rPr>
      </w:pPr>
      <w:r>
        <w:rPr>
          <w:color w:val="auto"/>
          <w:szCs w:val="21"/>
        </w:rPr>
        <w:t>现行有效的企业标准、团体标准、地方标准及产品明示质量要求</w:t>
      </w:r>
    </w:p>
    <w:p w14:paraId="259F2E60">
      <w:pPr>
        <w:adjustRightInd w:val="0"/>
        <w:snapToGrid w:val="0"/>
        <w:spacing w:line="440" w:lineRule="exact"/>
        <w:rPr>
          <w:color w:val="auto"/>
          <w:szCs w:val="21"/>
        </w:rPr>
      </w:pPr>
      <w:r>
        <w:rPr>
          <w:rFonts w:hint="eastAsia"/>
          <w:color w:val="auto"/>
          <w:szCs w:val="21"/>
        </w:rPr>
        <w:t>3.2判定原则</w:t>
      </w:r>
    </w:p>
    <w:p w14:paraId="4954AA87">
      <w:pPr>
        <w:adjustRightInd w:val="0"/>
        <w:snapToGrid w:val="0"/>
        <w:spacing w:line="440" w:lineRule="exact"/>
        <w:ind w:firstLine="417" w:firstLineChars="199"/>
        <w:rPr>
          <w:rFonts w:hint="eastAsia"/>
          <w:color w:val="auto"/>
          <w:szCs w:val="21"/>
        </w:rPr>
      </w:pPr>
      <w:r>
        <w:rPr>
          <w:rFonts w:hint="eastAsia"/>
          <w:color w:val="auto"/>
          <w:szCs w:val="21"/>
        </w:rPr>
        <w:t>经检验，检验项目全部合格，判定为被抽查产品所检项目未发现不合格；检验项目中任一项或一项以上不合格，判定为被抽查产品不合格。</w:t>
      </w:r>
    </w:p>
    <w:p w14:paraId="491B8E7B">
      <w:pPr>
        <w:adjustRightInd w:val="0"/>
        <w:snapToGrid w:val="0"/>
        <w:spacing w:line="440" w:lineRule="exact"/>
        <w:ind w:firstLine="417" w:firstLineChars="199"/>
        <w:rPr>
          <w:color w:val="auto"/>
          <w:szCs w:val="21"/>
        </w:rPr>
      </w:pPr>
      <w:r>
        <w:rPr>
          <w:rFonts w:hint="eastAsia"/>
          <w:color w:val="auto"/>
          <w:szCs w:val="21"/>
        </w:rPr>
        <w:t>若被检产品明示的质量要求高于本细则中检验项目依据的标准要求时，应按被检产品明示的质量要求判定。</w:t>
      </w:r>
    </w:p>
    <w:p w14:paraId="68EDBD1A">
      <w:pPr>
        <w:adjustRightInd w:val="0"/>
        <w:snapToGrid w:val="0"/>
        <w:spacing w:line="440" w:lineRule="exact"/>
        <w:ind w:firstLine="417" w:firstLineChars="199"/>
        <w:rPr>
          <w:color w:val="auto"/>
          <w:szCs w:val="21"/>
        </w:rPr>
      </w:pPr>
      <w:r>
        <w:rPr>
          <w:rFonts w:hint="eastAsia"/>
          <w:color w:val="auto"/>
          <w:szCs w:val="21"/>
        </w:rPr>
        <w:t>若被检产品明示的质量要求低于本细则中检验项目依据的强制性标准要求时，应按照强制性标准要求判定。</w:t>
      </w:r>
    </w:p>
    <w:p w14:paraId="3E0AF9A4">
      <w:pPr>
        <w:adjustRightInd w:val="0"/>
        <w:snapToGrid w:val="0"/>
        <w:spacing w:line="440" w:lineRule="exact"/>
        <w:ind w:firstLine="417" w:firstLineChars="199"/>
        <w:rPr>
          <w:color w:val="auto"/>
          <w:szCs w:val="21"/>
        </w:rPr>
      </w:pPr>
      <w:r>
        <w:rPr>
          <w:rFonts w:hint="eastAsia"/>
          <w:color w:val="auto"/>
          <w:szCs w:val="21"/>
        </w:rPr>
        <w:t>若被检产品明示的质量要求低于或包含细则中检验项目依据的推荐性标准要求时，应以被检产品明示的质量要求判定。</w:t>
      </w:r>
    </w:p>
    <w:p w14:paraId="02835776">
      <w:pPr>
        <w:adjustRightInd w:val="0"/>
        <w:snapToGrid w:val="0"/>
        <w:spacing w:line="440" w:lineRule="exact"/>
        <w:ind w:firstLine="417" w:firstLineChars="199"/>
        <w:rPr>
          <w:color w:val="auto"/>
          <w:szCs w:val="21"/>
        </w:rPr>
      </w:pPr>
      <w:r>
        <w:rPr>
          <w:rFonts w:hint="eastAsia"/>
          <w:color w:val="auto"/>
          <w:szCs w:val="21"/>
        </w:rPr>
        <w:t>若被检产品明示的质量要求缺少本细则中检验项目依据的强制性标准要求时，应按照强制性标准要求判定。</w:t>
      </w:r>
    </w:p>
    <w:p w14:paraId="71CC25D9">
      <w:pPr>
        <w:snapToGrid w:val="0"/>
        <w:spacing w:line="440" w:lineRule="exact"/>
        <w:ind w:firstLine="417" w:firstLineChars="199"/>
        <w:rPr>
          <w:color w:val="auto"/>
          <w:szCs w:val="21"/>
        </w:rPr>
      </w:pPr>
      <w:r>
        <w:rPr>
          <w:rFonts w:hint="eastAsia"/>
          <w:color w:val="auto"/>
          <w:szCs w:val="21"/>
        </w:rPr>
        <w:t>若被检产品明示的质量要求缺少本细则中检验项目依据的推荐性标准要求时，该项目不参与判定。</w:t>
      </w:r>
    </w:p>
    <w:p w14:paraId="1812F725">
      <w:pPr>
        <w:snapToGrid w:val="0"/>
        <w:spacing w:line="440" w:lineRule="exact"/>
        <w:rPr>
          <w:rFonts w:hint="eastAsia" w:eastAsia="黑体"/>
          <w:color w:val="auto"/>
          <w:szCs w:val="21"/>
          <w:lang w:val="en-US" w:eastAsia="zh-CN"/>
        </w:rPr>
      </w:pPr>
    </w:p>
    <w:p w14:paraId="1066D85E">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14:paraId="50ECCF44">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14:paraId="5F725CE7">
      <w:pPr>
        <w:numPr>
          <w:ilvl w:val="0"/>
          <w:numId w:val="0"/>
        </w:numPr>
        <w:snapToGrid w:val="0"/>
        <w:spacing w:line="440" w:lineRule="exact"/>
        <w:rPr>
          <w:rFonts w:hint="default"/>
          <w:color w:val="auto"/>
          <w:szCs w:val="21"/>
          <w:lang w:val="en-US" w:eastAsia="zh-CN"/>
        </w:rPr>
      </w:pPr>
    </w:p>
    <w:p w14:paraId="1ABCA280">
      <w:pPr>
        <w:numPr>
          <w:ilvl w:val="0"/>
          <w:numId w:val="0"/>
        </w:numPr>
        <w:snapToGrid w:val="0"/>
        <w:spacing w:line="440" w:lineRule="exact"/>
        <w:rPr>
          <w:rFonts w:hint="default"/>
          <w:color w:val="auto"/>
          <w:szCs w:val="21"/>
          <w:lang w:val="en-US" w:eastAsia="zh-CN"/>
        </w:rPr>
      </w:pPr>
    </w:p>
    <w:p w14:paraId="2910B758">
      <w:pPr>
        <w:numPr>
          <w:ilvl w:val="0"/>
          <w:numId w:val="0"/>
        </w:numPr>
        <w:snapToGrid w:val="0"/>
        <w:spacing w:line="440" w:lineRule="exact"/>
        <w:rPr>
          <w:rFonts w:hint="default"/>
          <w:color w:val="auto"/>
          <w:sz w:val="24"/>
          <w:szCs w:val="24"/>
          <w:lang w:val="en-US" w:eastAsia="zh-CN"/>
        </w:rPr>
      </w:pPr>
    </w:p>
    <w:sectPr>
      <w:headerReference r:id="rId3" w:type="default"/>
      <w:footerReference r:id="rId4" w:type="default"/>
      <w:pgSz w:w="11906" w:h="16838"/>
      <w:pgMar w:top="1985" w:right="1474" w:bottom="1644" w:left="1474" w:header="851" w:footer="1191"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A9AC5">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A9AAB57">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5BE48">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Y2Q5ZjI3MDg3NGNiYTQxYWU2MWI4ZjVjNDVjN2IifQ=="/>
    <w:docVar w:name="KSO_WPS_MARK_KEY" w:val="aa7924ca-b4be-4126-8970-cbd3cc7f18ef"/>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795CEB"/>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6284A"/>
    <w:rsid w:val="00E82621"/>
    <w:rsid w:val="00ED4450"/>
    <w:rsid w:val="00ED5419"/>
    <w:rsid w:val="00F332B6"/>
    <w:rsid w:val="00F77C9A"/>
    <w:rsid w:val="00F86832"/>
    <w:rsid w:val="00FB576C"/>
    <w:rsid w:val="00FD2AA6"/>
    <w:rsid w:val="00FE7E8A"/>
    <w:rsid w:val="00FF5DCC"/>
    <w:rsid w:val="01AD5116"/>
    <w:rsid w:val="0313544C"/>
    <w:rsid w:val="04DB46E3"/>
    <w:rsid w:val="05DE1D42"/>
    <w:rsid w:val="09234C9E"/>
    <w:rsid w:val="0B976158"/>
    <w:rsid w:val="0BF3562B"/>
    <w:rsid w:val="11473DDB"/>
    <w:rsid w:val="124D44D7"/>
    <w:rsid w:val="16BF34C9"/>
    <w:rsid w:val="1A0D279E"/>
    <w:rsid w:val="1A2F0966"/>
    <w:rsid w:val="1A784B4A"/>
    <w:rsid w:val="1AB858FC"/>
    <w:rsid w:val="1B9113EA"/>
    <w:rsid w:val="1C240C09"/>
    <w:rsid w:val="1CFF2022"/>
    <w:rsid w:val="1E57726E"/>
    <w:rsid w:val="1F4E188E"/>
    <w:rsid w:val="20C20634"/>
    <w:rsid w:val="22096B18"/>
    <w:rsid w:val="267A740D"/>
    <w:rsid w:val="2ABC5234"/>
    <w:rsid w:val="2B166DCB"/>
    <w:rsid w:val="2D127278"/>
    <w:rsid w:val="30AD76CF"/>
    <w:rsid w:val="32744BE7"/>
    <w:rsid w:val="32C01A94"/>
    <w:rsid w:val="35B9585C"/>
    <w:rsid w:val="3B3A4C0D"/>
    <w:rsid w:val="3C4E0CC8"/>
    <w:rsid w:val="3D176663"/>
    <w:rsid w:val="3F9ED02C"/>
    <w:rsid w:val="404C7A21"/>
    <w:rsid w:val="464C0026"/>
    <w:rsid w:val="49731D6E"/>
    <w:rsid w:val="4AEF3676"/>
    <w:rsid w:val="4C231829"/>
    <w:rsid w:val="4D8C33FE"/>
    <w:rsid w:val="4DA055CA"/>
    <w:rsid w:val="50C335DB"/>
    <w:rsid w:val="527D5601"/>
    <w:rsid w:val="527F3531"/>
    <w:rsid w:val="556A1533"/>
    <w:rsid w:val="575527A0"/>
    <w:rsid w:val="59BB47EE"/>
    <w:rsid w:val="59C12681"/>
    <w:rsid w:val="5C8005D2"/>
    <w:rsid w:val="5CF54B1C"/>
    <w:rsid w:val="5D551C37"/>
    <w:rsid w:val="60EF5D26"/>
    <w:rsid w:val="627E7362"/>
    <w:rsid w:val="63501C1C"/>
    <w:rsid w:val="636B2161"/>
    <w:rsid w:val="67717495"/>
    <w:rsid w:val="69A10D08"/>
    <w:rsid w:val="6A0445F0"/>
    <w:rsid w:val="6B1B7E43"/>
    <w:rsid w:val="6BDB5825"/>
    <w:rsid w:val="6D8E6FF3"/>
    <w:rsid w:val="72B76682"/>
    <w:rsid w:val="73217FC1"/>
    <w:rsid w:val="74035919"/>
    <w:rsid w:val="74DF0804"/>
    <w:rsid w:val="75BC2223"/>
    <w:rsid w:val="7967694A"/>
    <w:rsid w:val="7B073F40"/>
    <w:rsid w:val="7BEF7469"/>
    <w:rsid w:val="7EDB396C"/>
    <w:rsid w:val="F7EF90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3"/>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脚 Char"/>
    <w:basedOn w:val="8"/>
    <w:link w:val="5"/>
    <w:qFormat/>
    <w:uiPriority w:val="99"/>
    <w:rPr>
      <w:kern w:val="2"/>
      <w:sz w:val="18"/>
      <w:szCs w:val="18"/>
    </w:rPr>
  </w:style>
  <w:style w:type="character" w:customStyle="1" w:styleId="11">
    <w:name w:val="页眉 Char"/>
    <w:basedOn w:val="8"/>
    <w:link w:val="6"/>
    <w:semiHidden/>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character" w:customStyle="1" w:styleId="13">
    <w:name w:val="批注框文本 Char"/>
    <w:basedOn w:val="8"/>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701</Words>
  <Characters>810</Characters>
  <Lines>6</Lines>
  <Paragraphs>1</Paragraphs>
  <TotalTime>3</TotalTime>
  <ScaleCrop>false</ScaleCrop>
  <LinksUpToDate>false</LinksUpToDate>
  <CharactersWithSpaces>827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2019-12-31T16:57:00Z</dcterms:created>
  <dc:creator>Legend User</dc:creator>
  <cp:lastModifiedBy>可乐</cp:lastModifiedBy>
  <cp:lastPrinted>2022-02-24T08:43:00Z</cp:lastPrinted>
  <dcterms:modified xsi:type="dcterms:W3CDTF">2026-03-25T07:28:03Z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92E9197D540240B4B1496FB842D97495</vt:lpwstr>
  </property>
  <property fmtid="{D5CDD505-2E9C-101B-9397-08002B2CF9AE}" pid="4" name="KSOTemplateDocerSaveRecord">
    <vt:lpwstr>eyJoZGlkIjoiOTYyNzA0MDUwZjQzYjlmODg3YTM4ZGJiZjZmMGQ0ZDMiLCJ1c2VySWQiOiIzODk4ODI2NTcifQ==</vt:lpwstr>
  </property>
</Properties>
</file>