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ind w:firstLine="547" w:firstLineChars="171"/>
        <w:jc w:val="center"/>
        <w:rPr>
          <w:rFonts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lang w:val="en-US" w:eastAsia="zh-CN"/>
        </w:rPr>
        <w:t>六安市溶解乙炔</w:t>
      </w:r>
      <w:r>
        <w:rPr>
          <w:rFonts w:hint="eastAsia" w:ascii="方正小标宋简体" w:hAnsi="方正小标宋简体" w:eastAsia="方正小标宋简体" w:cs="方正小标宋简体"/>
          <w:color w:val="auto"/>
          <w:sz w:val="32"/>
          <w:szCs w:val="32"/>
        </w:rPr>
        <w:t>产品质量监督抽查实施细则</w:t>
      </w:r>
    </w:p>
    <w:p>
      <w:pPr>
        <w:snapToGrid w:val="0"/>
        <w:spacing w:line="440" w:lineRule="exact"/>
        <w:rPr>
          <w:rFonts w:hint="eastAsia" w:ascii="黑体" w:hAnsi="黑体" w:eastAsia="黑体" w:cs="黑体"/>
          <w:color w:val="auto"/>
          <w:szCs w:val="21"/>
        </w:rPr>
      </w:pPr>
      <w:r>
        <w:rPr>
          <w:rFonts w:hint="eastAsia" w:ascii="黑体" w:hAnsi="黑体" w:eastAsia="黑体" w:cs="黑体"/>
          <w:color w:val="auto"/>
          <w:szCs w:val="21"/>
        </w:rPr>
        <w:t>1 抽样方法</w:t>
      </w:r>
    </w:p>
    <w:p>
      <w:pPr>
        <w:snapToGrid w:val="0"/>
        <w:spacing w:line="44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以随机抽样的方式在被抽样生产者、销售者的待销产品中抽取。</w:t>
      </w:r>
    </w:p>
    <w:p>
      <w:pPr>
        <w:snapToGrid w:val="0"/>
        <w:spacing w:line="44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随机数一般可使用随机数表等方法产生。</w:t>
      </w:r>
    </w:p>
    <w:p>
      <w:pPr>
        <w:snapToGrid w:val="0"/>
        <w:spacing w:line="44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溶解乙炔现场检验，应抽取不少于3瓶同一规格、同一等级、同一批次的样品，封存至少3瓶作为复检备用样品，复检备用样品封存在被抽检企业。</w:t>
      </w:r>
    </w:p>
    <w:p>
      <w:pPr>
        <w:snapToGrid w:val="0"/>
        <w:spacing w:line="440" w:lineRule="exact"/>
        <w:rPr>
          <w:rFonts w:hint="eastAsia" w:ascii="黑体" w:hAnsi="黑体" w:eastAsia="黑体" w:cs="黑体"/>
          <w:color w:val="auto"/>
          <w:szCs w:val="21"/>
        </w:rPr>
      </w:pPr>
    </w:p>
    <w:p>
      <w:pPr>
        <w:snapToGrid w:val="0"/>
        <w:spacing w:line="440" w:lineRule="exact"/>
        <w:rPr>
          <w:rFonts w:eastAsia="黑体"/>
          <w:color w:val="auto"/>
          <w:szCs w:val="21"/>
        </w:rPr>
      </w:pPr>
      <w:r>
        <w:rPr>
          <w:rFonts w:hint="eastAsia" w:ascii="黑体" w:hAnsi="黑体" w:eastAsia="黑体" w:cs="黑体"/>
          <w:color w:val="auto"/>
          <w:szCs w:val="21"/>
        </w:rPr>
        <w:t>2 检验依据</w:t>
      </w:r>
      <w:bookmarkStart w:id="0" w:name="_GoBack"/>
      <w:bookmarkEnd w:id="0"/>
    </w:p>
    <w:p>
      <w:pPr>
        <w:snapToGrid w:val="0"/>
        <w:spacing w:line="440" w:lineRule="exact"/>
        <w:jc w:val="center"/>
        <w:rPr>
          <w:rFonts w:ascii="宋体" w:hAnsi="宋体" w:cs="宋体"/>
          <w:color w:val="auto"/>
          <w:szCs w:val="21"/>
        </w:rPr>
      </w:pPr>
      <w:r>
        <w:rPr>
          <w:rFonts w:hint="eastAsia" w:ascii="宋体" w:hAnsi="宋体" w:cs="宋体"/>
          <w:color w:val="auto"/>
          <w:szCs w:val="21"/>
          <w:lang w:val="en-US" w:eastAsia="zh-CN"/>
        </w:rPr>
        <w:t xml:space="preserve">表1 </w:t>
      </w:r>
      <w:r>
        <w:rPr>
          <w:rFonts w:hint="eastAsia" w:ascii="宋体" w:hAnsi="宋体" w:cs="宋体"/>
          <w:color w:val="auto"/>
          <w:szCs w:val="21"/>
        </w:rPr>
        <w:t>溶解乙炔</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143"/>
        <w:gridCol w:w="5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blHeader/>
          <w:jc w:val="center"/>
        </w:trPr>
        <w:tc>
          <w:tcPr>
            <w:tcW w:w="688" w:type="dxa"/>
            <w:vMerge w:val="restart"/>
            <w:noWrap/>
            <w:vAlign w:val="center"/>
          </w:tcPr>
          <w:p>
            <w:pPr>
              <w:snapToGrid w:val="0"/>
              <w:jc w:val="center"/>
              <w:rPr>
                <w:rFonts w:ascii="宋体" w:hAnsi="宋体" w:cs="宋体"/>
                <w:color w:val="auto"/>
                <w:kern w:val="0"/>
                <w:szCs w:val="21"/>
              </w:rPr>
            </w:pPr>
            <w:r>
              <w:rPr>
                <w:rFonts w:hint="eastAsia" w:ascii="宋体" w:hAnsi="宋体" w:cs="宋体"/>
                <w:color w:val="auto"/>
                <w:kern w:val="0"/>
                <w:szCs w:val="21"/>
              </w:rPr>
              <w:t>序号</w:t>
            </w:r>
          </w:p>
        </w:tc>
        <w:tc>
          <w:tcPr>
            <w:tcW w:w="2143" w:type="dxa"/>
            <w:vMerge w:val="restart"/>
            <w:noWrap/>
            <w:vAlign w:val="center"/>
          </w:tcPr>
          <w:p>
            <w:pPr>
              <w:snapToGrid w:val="0"/>
              <w:jc w:val="center"/>
              <w:rPr>
                <w:rFonts w:ascii="宋体" w:hAnsi="宋体" w:cs="宋体"/>
                <w:color w:val="auto"/>
                <w:kern w:val="0"/>
                <w:szCs w:val="21"/>
              </w:rPr>
            </w:pPr>
            <w:r>
              <w:rPr>
                <w:rFonts w:hint="eastAsia" w:ascii="宋体" w:hAnsi="宋体" w:cs="宋体"/>
                <w:color w:val="auto"/>
                <w:kern w:val="0"/>
                <w:szCs w:val="21"/>
              </w:rPr>
              <w:t>检验项目</w:t>
            </w:r>
          </w:p>
        </w:tc>
        <w:tc>
          <w:tcPr>
            <w:tcW w:w="5039" w:type="dxa"/>
            <w:vMerge w:val="restart"/>
            <w:noWrap/>
            <w:vAlign w:val="center"/>
          </w:tcPr>
          <w:p>
            <w:pPr>
              <w:snapToGrid w:val="0"/>
              <w:jc w:val="center"/>
              <w:rPr>
                <w:rFonts w:ascii="宋体" w:hAnsi="宋体" w:cs="宋体"/>
                <w:color w:val="auto"/>
                <w:kern w:val="0"/>
                <w:szCs w:val="21"/>
              </w:rPr>
            </w:pPr>
            <w:r>
              <w:rPr>
                <w:rFonts w:hint="eastAsia" w:ascii="宋体" w:hAnsi="宋体" w:cs="宋体"/>
                <w:color w:val="auto"/>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688" w:type="dxa"/>
            <w:vMerge w:val="continue"/>
            <w:noWrap/>
            <w:vAlign w:val="center"/>
          </w:tcPr>
          <w:p>
            <w:pPr>
              <w:snapToGrid w:val="0"/>
              <w:jc w:val="center"/>
              <w:rPr>
                <w:rFonts w:ascii="宋体" w:hAnsi="宋体" w:cs="宋体"/>
                <w:color w:val="auto"/>
                <w:kern w:val="0"/>
                <w:szCs w:val="21"/>
              </w:rPr>
            </w:pPr>
          </w:p>
        </w:tc>
        <w:tc>
          <w:tcPr>
            <w:tcW w:w="2143" w:type="dxa"/>
            <w:vMerge w:val="continue"/>
            <w:noWrap/>
            <w:vAlign w:val="center"/>
          </w:tcPr>
          <w:p>
            <w:pPr>
              <w:snapToGrid w:val="0"/>
              <w:jc w:val="center"/>
              <w:rPr>
                <w:rFonts w:ascii="宋体" w:hAnsi="宋体" w:cs="宋体"/>
                <w:color w:val="auto"/>
                <w:kern w:val="0"/>
                <w:szCs w:val="21"/>
              </w:rPr>
            </w:pPr>
          </w:p>
        </w:tc>
        <w:tc>
          <w:tcPr>
            <w:tcW w:w="5039" w:type="dxa"/>
            <w:vMerge w:val="continue"/>
            <w:noWrap/>
            <w:vAlign w:val="center"/>
          </w:tcPr>
          <w:p>
            <w:pPr>
              <w:snapToGrid w:val="0"/>
              <w:jc w:val="center"/>
              <w:rPr>
                <w:rFonts w:ascii="宋体" w:hAns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noWrap/>
            <w:vAlign w:val="center"/>
          </w:tcPr>
          <w:p>
            <w:pPr>
              <w:snapToGrid w:val="0"/>
              <w:jc w:val="center"/>
              <w:rPr>
                <w:rFonts w:ascii="宋体" w:hAnsi="宋体" w:cs="宋体"/>
                <w:color w:val="auto"/>
                <w:kern w:val="0"/>
                <w:szCs w:val="21"/>
              </w:rPr>
            </w:pPr>
            <w:r>
              <w:rPr>
                <w:rFonts w:hint="eastAsia" w:ascii="宋体" w:hAnsi="宋体" w:cs="宋体"/>
                <w:color w:val="auto"/>
                <w:kern w:val="0"/>
                <w:szCs w:val="21"/>
              </w:rPr>
              <w:t>1</w:t>
            </w:r>
          </w:p>
        </w:tc>
        <w:tc>
          <w:tcPr>
            <w:tcW w:w="2143" w:type="dxa"/>
            <w:noWrap/>
            <w:vAlign w:val="center"/>
          </w:tcPr>
          <w:p>
            <w:pPr>
              <w:spacing w:line="360" w:lineRule="auto"/>
              <w:ind w:right="113"/>
              <w:jc w:val="center"/>
              <w:rPr>
                <w:rFonts w:ascii="宋体" w:hAnsi="宋体" w:cs="宋体"/>
                <w:color w:val="auto"/>
                <w:kern w:val="0"/>
                <w:szCs w:val="21"/>
                <w:highlight w:val="yellow"/>
              </w:rPr>
            </w:pPr>
            <w:r>
              <w:rPr>
                <w:rFonts w:hint="eastAsia" w:ascii="宋体" w:hAnsi="宋体" w:cs="宋体"/>
                <w:color w:val="auto"/>
                <w:szCs w:val="21"/>
              </w:rPr>
              <w:t>乙炔的体积分数</w:t>
            </w:r>
          </w:p>
        </w:tc>
        <w:tc>
          <w:tcPr>
            <w:tcW w:w="5039" w:type="dxa"/>
            <w:noWrap/>
            <w:vAlign w:val="center"/>
          </w:tcPr>
          <w:p>
            <w:pPr>
              <w:snapToGrid w:val="0"/>
              <w:jc w:val="center"/>
              <w:rPr>
                <w:rFonts w:ascii="宋体" w:hAnsi="宋体" w:cs="宋体"/>
                <w:color w:val="auto"/>
                <w:szCs w:val="21"/>
              </w:rPr>
            </w:pPr>
            <w:r>
              <w:rPr>
                <w:rFonts w:hint="eastAsia" w:ascii="宋体" w:hAnsi="宋体" w:cs="宋体"/>
                <w:color w:val="auto"/>
                <w:szCs w:val="21"/>
              </w:rPr>
              <w:t>GB 6819-2004中4.2条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noWrap/>
            <w:vAlign w:val="center"/>
          </w:tcPr>
          <w:p>
            <w:pPr>
              <w:snapToGrid w:val="0"/>
              <w:jc w:val="center"/>
              <w:rPr>
                <w:rFonts w:ascii="宋体" w:hAnsi="宋体" w:cs="宋体"/>
                <w:color w:val="auto"/>
                <w:kern w:val="0"/>
                <w:szCs w:val="21"/>
              </w:rPr>
            </w:pPr>
            <w:r>
              <w:rPr>
                <w:rFonts w:hint="eastAsia" w:ascii="宋体" w:hAnsi="宋体" w:cs="宋体"/>
                <w:color w:val="auto"/>
                <w:kern w:val="0"/>
                <w:szCs w:val="21"/>
              </w:rPr>
              <w:t>2</w:t>
            </w:r>
          </w:p>
        </w:tc>
        <w:tc>
          <w:tcPr>
            <w:tcW w:w="2143" w:type="dxa"/>
            <w:noWrap/>
            <w:vAlign w:val="center"/>
          </w:tcPr>
          <w:p>
            <w:pPr>
              <w:ind w:right="113"/>
              <w:jc w:val="center"/>
              <w:rPr>
                <w:rFonts w:ascii="宋体" w:hAnsi="宋体" w:cs="宋体"/>
                <w:color w:val="auto"/>
                <w:szCs w:val="21"/>
              </w:rPr>
            </w:pPr>
            <w:r>
              <w:rPr>
                <w:rFonts w:hint="eastAsia" w:ascii="宋体" w:hAnsi="宋体" w:cs="宋体"/>
                <w:color w:val="auto"/>
                <w:szCs w:val="21"/>
              </w:rPr>
              <w:t>磷化氢、硫化氢试验</w:t>
            </w:r>
          </w:p>
        </w:tc>
        <w:tc>
          <w:tcPr>
            <w:tcW w:w="5039" w:type="dxa"/>
            <w:noWrap/>
            <w:vAlign w:val="center"/>
          </w:tcPr>
          <w:p>
            <w:pPr>
              <w:snapToGrid w:val="0"/>
              <w:jc w:val="center"/>
              <w:rPr>
                <w:rFonts w:ascii="宋体" w:hAnsi="宋体" w:cs="宋体"/>
                <w:color w:val="auto"/>
                <w:szCs w:val="21"/>
              </w:rPr>
            </w:pPr>
            <w:r>
              <w:rPr>
                <w:rFonts w:hint="eastAsia" w:ascii="宋体" w:hAnsi="宋体" w:cs="宋体"/>
                <w:color w:val="auto"/>
                <w:szCs w:val="21"/>
              </w:rPr>
              <w:t>GB 6819-2004中4.3条</w:t>
            </w:r>
          </w:p>
        </w:tc>
      </w:tr>
    </w:tbl>
    <w:p>
      <w:pPr>
        <w:snapToGrid w:val="0"/>
        <w:spacing w:line="440" w:lineRule="exact"/>
        <w:ind w:firstLine="420" w:firstLineChars="200"/>
        <w:rPr>
          <w:rFonts w:hint="eastAsia"/>
          <w:color w:val="auto"/>
          <w:szCs w:val="21"/>
        </w:rPr>
      </w:pPr>
    </w:p>
    <w:p>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pPr>
        <w:snapToGrid w:val="0"/>
        <w:spacing w:line="440" w:lineRule="exact"/>
        <w:ind w:firstLine="420" w:firstLineChars="200"/>
        <w:rPr>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eastAsiaTheme="minorEastAsia"/>
          <w:color w:val="auto"/>
          <w:szCs w:val="21"/>
        </w:rPr>
      </w:pPr>
    </w:p>
    <w:p>
      <w:pPr>
        <w:spacing w:beforeLines="50" w:line="360" w:lineRule="auto"/>
        <w:rPr>
          <w:rFonts w:hint="eastAsia" w:ascii="黑体" w:hAnsi="黑体" w:eastAsia="黑体" w:cs="黑体"/>
          <w:color w:val="auto"/>
          <w:szCs w:val="21"/>
        </w:rPr>
      </w:pPr>
      <w:r>
        <w:rPr>
          <w:rFonts w:hint="eastAsia" w:ascii="黑体" w:hAnsi="黑体" w:eastAsia="黑体" w:cs="黑体"/>
          <w:color w:val="auto"/>
          <w:szCs w:val="21"/>
        </w:rPr>
        <w:t>3 判定规则</w:t>
      </w:r>
    </w:p>
    <w:p>
      <w:pPr>
        <w:snapToGrid w:val="0"/>
        <w:spacing w:line="440" w:lineRule="exact"/>
        <w:rPr>
          <w:color w:val="auto"/>
          <w:szCs w:val="21"/>
        </w:rPr>
      </w:pPr>
      <w:r>
        <w:rPr>
          <w:color w:val="auto"/>
          <w:szCs w:val="21"/>
        </w:rPr>
        <w:t>3.1依据标准</w:t>
      </w:r>
    </w:p>
    <w:p>
      <w:pPr>
        <w:snapToGrid w:val="0"/>
        <w:spacing w:line="440" w:lineRule="exact"/>
        <w:ind w:firstLine="420" w:firstLineChars="200"/>
        <w:rPr>
          <w:color w:val="auto"/>
          <w:szCs w:val="21"/>
        </w:rPr>
      </w:pPr>
      <w:r>
        <w:rPr>
          <w:rFonts w:hint="eastAsia"/>
          <w:color w:val="auto"/>
          <w:szCs w:val="21"/>
        </w:rPr>
        <w:t>GB 6819-2004 溶解乙炔(包含修改单1)</w:t>
      </w:r>
    </w:p>
    <w:p>
      <w:pPr>
        <w:snapToGrid w:val="0"/>
        <w:spacing w:line="440" w:lineRule="exact"/>
        <w:ind w:firstLine="420" w:firstLineChars="200"/>
        <w:rPr>
          <w:color w:val="auto"/>
          <w:szCs w:val="21"/>
        </w:rPr>
      </w:pPr>
      <w:r>
        <w:rPr>
          <w:color w:val="auto"/>
          <w:szCs w:val="21"/>
        </w:rPr>
        <w:t>现行有效的企业标准、团体标准、地方标准及产品明示质量要求</w:t>
      </w:r>
    </w:p>
    <w:p>
      <w:pPr>
        <w:adjustRightInd w:val="0"/>
        <w:snapToGrid w:val="0"/>
        <w:spacing w:line="440" w:lineRule="exact"/>
        <w:rPr>
          <w:color w:val="auto"/>
          <w:szCs w:val="21"/>
        </w:rPr>
      </w:pPr>
      <w:r>
        <w:rPr>
          <w:rFonts w:hint="eastAsia"/>
          <w:color w:val="auto"/>
          <w:szCs w:val="21"/>
        </w:rPr>
        <w:t>3.2判定原则</w:t>
      </w:r>
    </w:p>
    <w:p>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pPr>
        <w:snapToGrid w:val="0"/>
        <w:spacing w:line="440" w:lineRule="exact"/>
        <w:rPr>
          <w:rFonts w:hint="eastAsia" w:eastAsia="黑体"/>
          <w:color w:val="auto"/>
          <w:szCs w:val="21"/>
          <w:lang w:val="en-US" w:eastAsia="zh-CN"/>
        </w:rPr>
      </w:pPr>
    </w:p>
    <w:p>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pPr>
        <w:snapToGrid w:val="0"/>
        <w:spacing w:line="440" w:lineRule="exact"/>
        <w:rPr>
          <w:color w:val="auto"/>
          <w:szCs w:val="21"/>
        </w:rPr>
      </w:pPr>
    </w:p>
    <w:p>
      <w:pPr>
        <w:snapToGrid w:val="0"/>
        <w:spacing w:line="440" w:lineRule="exact"/>
        <w:rPr>
          <w:color w:val="auto"/>
          <w:szCs w:val="21"/>
        </w:rPr>
      </w:pPr>
    </w:p>
    <w:p>
      <w:pPr>
        <w:snapToGrid w:val="0"/>
        <w:spacing w:line="440" w:lineRule="exact"/>
        <w:rPr>
          <w:color w:val="auto"/>
          <w:sz w:val="24"/>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方正公文小标宋">
    <w:altName w:val="宋体"/>
    <w:panose1 w:val="00000000000000000000"/>
    <w:charset w:val="86"/>
    <w:family w:val="auto"/>
    <w:pitch w:val="default"/>
    <w:sig w:usb0="00000000" w:usb1="00000000" w:usb2="00000016" w:usb3="00000000" w:csb0="00040001" w:csb1="00000000"/>
  </w:font>
  <w:font w:name="Sim Sun">
    <w:altName w:val="仿宋"/>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5</w:t>
    </w:r>
    <w:r>
      <w:rPr>
        <w:lang w:val="zh-CN"/>
      </w:rP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djY2Q5ZjI3MDg3NGNiYTQxYWU2MWI4ZjVjNDVjN2IifQ=="/>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2F7B"/>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12DAF"/>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4DB46E3"/>
    <w:rsid w:val="09234C9E"/>
    <w:rsid w:val="0B976158"/>
    <w:rsid w:val="0BF3562B"/>
    <w:rsid w:val="0C802C20"/>
    <w:rsid w:val="11473DDB"/>
    <w:rsid w:val="1A784B4A"/>
    <w:rsid w:val="1B9113EA"/>
    <w:rsid w:val="1C1B73F4"/>
    <w:rsid w:val="1C240C09"/>
    <w:rsid w:val="1DB96EC4"/>
    <w:rsid w:val="1E2D4444"/>
    <w:rsid w:val="22096B18"/>
    <w:rsid w:val="266F20B9"/>
    <w:rsid w:val="26CC01E0"/>
    <w:rsid w:val="26EF3957"/>
    <w:rsid w:val="29C015DB"/>
    <w:rsid w:val="2B166DCB"/>
    <w:rsid w:val="32744BE7"/>
    <w:rsid w:val="38547ABE"/>
    <w:rsid w:val="3D176663"/>
    <w:rsid w:val="3F7FB03D"/>
    <w:rsid w:val="3F9ED02C"/>
    <w:rsid w:val="49470F79"/>
    <w:rsid w:val="556A1533"/>
    <w:rsid w:val="575527A0"/>
    <w:rsid w:val="5AAD3B56"/>
    <w:rsid w:val="5D551C37"/>
    <w:rsid w:val="636B2161"/>
    <w:rsid w:val="642F4DB7"/>
    <w:rsid w:val="68271320"/>
    <w:rsid w:val="74DF0804"/>
    <w:rsid w:val="7BEF7469"/>
    <w:rsid w:val="7E891110"/>
    <w:rsid w:val="7EDB396C"/>
    <w:rsid w:val="BFB7A0DA"/>
    <w:rsid w:val="E1E78D0A"/>
    <w:rsid w:val="F7EF90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653</Words>
  <Characters>689</Characters>
  <Lines>8</Lines>
  <Paragraphs>5</Paragraphs>
  <TotalTime>2</TotalTime>
  <ScaleCrop>false</ScaleCrop>
  <LinksUpToDate>false</LinksUpToDate>
  <CharactersWithSpaces>698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2020-01-01T16:57:00Z</dcterms:created>
  <dc:creator>Legend User</dc:creator>
  <cp:lastModifiedBy>可乐</cp:lastModifiedBy>
  <cp:lastPrinted>2022-02-25T08:43:00Z</cp:lastPrinted>
  <dcterms:modified xsi:type="dcterms:W3CDTF">2023-05-25T03:31:29Z</dcterms:modified>
  <dc:title>××产品质量监督抽查实施细则</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92E9197D540240B4B1496FB842D97495</vt:lpwstr>
  </property>
</Properties>
</file>