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3B497">
      <w:pPr>
        <w:snapToGrid w:val="0"/>
        <w:spacing w:line="440" w:lineRule="exact"/>
        <w:jc w:val="center"/>
        <w:rPr>
          <w:rFonts w:hint="eastAsia" w:ascii="方正小标宋简体" w:hAnsi="方正小标宋简体" w:eastAsia="方正小标宋简体" w:cs="方正小标宋简体"/>
          <w:color w:val="000000"/>
          <w:sz w:val="32"/>
          <w:szCs w:val="32"/>
        </w:rPr>
      </w:pPr>
      <w:bookmarkStart w:id="0" w:name="_GoBack"/>
      <w:r>
        <w:rPr>
          <w:rFonts w:hint="eastAsia" w:ascii="方正小标宋简体" w:hAnsi="方正小标宋简体" w:eastAsia="方正小标宋简体" w:cs="方正小标宋简体"/>
          <w:color w:val="000000"/>
          <w:sz w:val="32"/>
          <w:szCs w:val="32"/>
        </w:rPr>
        <w:t>202</w:t>
      </w:r>
      <w:r>
        <w:rPr>
          <w:rFonts w:hint="eastAsia" w:ascii="方正小标宋简体" w:hAnsi="方正小标宋简体" w:eastAsia="方正小标宋简体" w:cs="方正小标宋简体"/>
          <w:color w:val="000000"/>
          <w:sz w:val="32"/>
          <w:szCs w:val="32"/>
          <w:lang w:val="en-US" w:eastAsia="zh-CN"/>
        </w:rPr>
        <w:t>6年六安市</w:t>
      </w:r>
      <w:r>
        <w:rPr>
          <w:rFonts w:hint="eastAsia" w:ascii="方正小标宋简体" w:hAnsi="方正小标宋简体" w:eastAsia="方正小标宋简体" w:cs="方正小标宋简体"/>
          <w:color w:val="000000"/>
          <w:sz w:val="32"/>
          <w:szCs w:val="32"/>
          <w:lang w:eastAsia="zh-CN"/>
        </w:rPr>
        <w:t>胶粘剂</w:t>
      </w:r>
      <w:bookmarkEnd w:id="0"/>
      <w:r>
        <w:rPr>
          <w:rFonts w:hint="eastAsia" w:ascii="方正小标宋简体" w:hAnsi="方正小标宋简体" w:eastAsia="方正小标宋简体" w:cs="方正小标宋简体"/>
          <w:color w:val="000000"/>
          <w:sz w:val="32"/>
          <w:szCs w:val="32"/>
        </w:rPr>
        <w:t>产品质量监督抽查实施细则</w:t>
      </w:r>
    </w:p>
    <w:p w14:paraId="729D00E8">
      <w:pPr>
        <w:snapToGrid w:val="0"/>
        <w:spacing w:line="440" w:lineRule="exact"/>
        <w:ind w:firstLine="359" w:firstLineChars="171"/>
        <w:rPr>
          <w:rFonts w:hint="eastAsia" w:asciiTheme="majorEastAsia" w:hAnsiTheme="majorEastAsia" w:eastAsiaTheme="majorEastAsia" w:cstheme="majorEastAsia"/>
          <w:color w:val="000000"/>
          <w:szCs w:val="21"/>
        </w:rPr>
      </w:pPr>
    </w:p>
    <w:p w14:paraId="7AD01636">
      <w:pPr>
        <w:snapToGrid w:val="0"/>
        <w:spacing w:line="440" w:lineRule="exact"/>
        <w:rPr>
          <w:rFonts w:eastAsia="黑体"/>
          <w:color w:val="000000"/>
          <w:szCs w:val="21"/>
        </w:rPr>
      </w:pPr>
      <w:r>
        <w:rPr>
          <w:rFonts w:eastAsia="黑体"/>
          <w:color w:val="000000"/>
          <w:szCs w:val="21"/>
        </w:rPr>
        <w:t>1 抽样方法</w:t>
      </w:r>
    </w:p>
    <w:p w14:paraId="570BFA93">
      <w:pPr>
        <w:snapToGrid w:val="0"/>
        <w:spacing w:line="440" w:lineRule="exact"/>
        <w:ind w:firstLine="420" w:firstLineChars="200"/>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抽样产品：室内建筑装饰装修用胶粘剂分为溶剂型、水基型、本体型。抽样时需确认产品型号。</w:t>
      </w:r>
    </w:p>
    <w:p w14:paraId="1985E219">
      <w:pPr>
        <w:adjustRightInd w:val="0"/>
        <w:snapToGrid w:val="0"/>
        <w:spacing w:line="440" w:lineRule="exact"/>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以随机抽样的方式在被抽样生产者、销售者的待销产品中抽取。</w:t>
      </w:r>
    </w:p>
    <w:p w14:paraId="162393F8">
      <w:pPr>
        <w:adjustRightInd w:val="0"/>
        <w:snapToGrid w:val="0"/>
        <w:spacing w:line="440" w:lineRule="exact"/>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随机数一般可使用随机数表等方法产生。</w:t>
      </w:r>
    </w:p>
    <w:p w14:paraId="1F6CBF3B">
      <w:pPr>
        <w:snapToGrid w:val="0"/>
        <w:spacing w:line="44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抽取2份样品，</w:t>
      </w:r>
      <w:r>
        <w:rPr>
          <w:rFonts w:asciiTheme="minorEastAsia" w:hAnsiTheme="minorEastAsia" w:eastAsiaTheme="minorEastAsia"/>
        </w:rPr>
        <w:t>每份不少于</w:t>
      </w:r>
      <w:r>
        <w:rPr>
          <w:rFonts w:hint="eastAsia" w:asciiTheme="minorEastAsia" w:hAnsiTheme="minorEastAsia" w:eastAsiaTheme="minorEastAsia"/>
          <w:lang w:val="en-US" w:eastAsia="zh-CN"/>
        </w:rPr>
        <w:t>0.5</w:t>
      </w:r>
      <w:r>
        <w:rPr>
          <w:rFonts w:asciiTheme="minorEastAsia" w:hAnsiTheme="minorEastAsia" w:eastAsiaTheme="minorEastAsia"/>
        </w:rPr>
        <w:t>kg，</w:t>
      </w:r>
      <w:r>
        <w:rPr>
          <w:rFonts w:asciiTheme="minorEastAsia" w:hAnsiTheme="minorEastAsia" w:eastAsiaTheme="minorEastAsia"/>
          <w:szCs w:val="21"/>
        </w:rPr>
        <w:t>一份为检验样品，一份为备用样品。</w:t>
      </w:r>
    </w:p>
    <w:p w14:paraId="26EEFA8D">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当独立包装产品质量小于</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kg时，应尽量整包装抽取，避免分装。</w:t>
      </w:r>
    </w:p>
    <w:p w14:paraId="3A0E308F">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当独立包装产品质量大于</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kg时，搅拌均匀后抽取样品，用液体取样勺取样，在一个清洁、干燥的容器中混合，尽快取出两份均匀样品，每份样品至少</w:t>
      </w:r>
      <w:r>
        <w:rPr>
          <w:rFonts w:hint="eastAsia" w:asciiTheme="minorEastAsia" w:hAnsiTheme="minorEastAsia" w:eastAsiaTheme="minorEastAsia"/>
          <w:szCs w:val="21"/>
          <w:lang w:val="en-US" w:eastAsia="zh-CN"/>
        </w:rPr>
        <w:t>0.5</w:t>
      </w:r>
      <w:r>
        <w:rPr>
          <w:rFonts w:hint="eastAsia" w:asciiTheme="minorEastAsia" w:hAnsiTheme="minorEastAsia" w:eastAsiaTheme="minorEastAsia"/>
          <w:szCs w:val="21"/>
        </w:rPr>
        <w:t>kg，然后将样品装入洁净、密封的容器。配套产品按照配比抽取适量样品。</w:t>
      </w:r>
      <w:r>
        <w:rPr>
          <w:rFonts w:hint="eastAsia" w:ascii="宋体" w:hAnsi="宋体" w:cs="方正仿宋简体"/>
        </w:rPr>
        <w:t>（流通流域抽样时</w:t>
      </w:r>
      <w:r>
        <w:rPr>
          <w:rFonts w:hint="eastAsia"/>
          <w:szCs w:val="21"/>
        </w:rPr>
        <w:t>整包装抽取，避免分装</w:t>
      </w:r>
      <w:r>
        <w:rPr>
          <w:rFonts w:hint="eastAsia" w:ascii="宋体" w:hAnsi="宋体" w:cs="方正仿宋简体"/>
        </w:rPr>
        <w:t>）</w:t>
      </w:r>
    </w:p>
    <w:p w14:paraId="0FCDF16B">
      <w:pPr>
        <w:adjustRightInd/>
        <w:snapToGrid w:val="0"/>
        <w:spacing w:line="440" w:lineRule="exact"/>
        <w:jc w:val="left"/>
        <w:rPr>
          <w:szCs w:val="21"/>
        </w:rPr>
      </w:pPr>
      <w:r>
        <w:rPr>
          <w:rFonts w:eastAsia="黑体"/>
          <w:color w:val="000000"/>
          <w:szCs w:val="21"/>
        </w:rPr>
        <w:t>2 检验依据</w:t>
      </w:r>
    </w:p>
    <w:p w14:paraId="0EB6BFD0">
      <w:pPr>
        <w:widowControl/>
        <w:spacing w:line="440" w:lineRule="exact"/>
        <w:jc w:val="center"/>
        <w:rPr>
          <w:color w:val="000000"/>
          <w:szCs w:val="21"/>
        </w:rPr>
      </w:pPr>
      <w:r>
        <w:rPr>
          <w:color w:val="000000"/>
          <w:szCs w:val="21"/>
        </w:rPr>
        <w:t>胶粘剂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5475"/>
        <w:gridCol w:w="2718"/>
      </w:tblGrid>
      <w:tr w14:paraId="6B06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trPr>
        <w:tc>
          <w:tcPr>
            <w:tcW w:w="981" w:type="dxa"/>
            <w:noWrap w:val="0"/>
            <w:vAlign w:val="center"/>
          </w:tcPr>
          <w:p w14:paraId="1AE399BA">
            <w:pPr>
              <w:snapToGrid w:val="0"/>
              <w:spacing w:line="440" w:lineRule="exact"/>
              <w:jc w:val="center"/>
              <w:rPr>
                <w:color w:val="000000"/>
                <w:szCs w:val="21"/>
              </w:rPr>
            </w:pPr>
            <w:r>
              <w:rPr>
                <w:color w:val="000000"/>
                <w:szCs w:val="21"/>
              </w:rPr>
              <w:t>序号</w:t>
            </w:r>
          </w:p>
        </w:tc>
        <w:tc>
          <w:tcPr>
            <w:tcW w:w="5475" w:type="dxa"/>
            <w:noWrap w:val="0"/>
            <w:vAlign w:val="center"/>
          </w:tcPr>
          <w:p w14:paraId="61A0E7B3">
            <w:pPr>
              <w:snapToGrid w:val="0"/>
              <w:spacing w:line="440" w:lineRule="exact"/>
              <w:jc w:val="center"/>
              <w:rPr>
                <w:kern w:val="0"/>
                <w:szCs w:val="21"/>
              </w:rPr>
            </w:pPr>
            <w:r>
              <w:rPr>
                <w:kern w:val="0"/>
                <w:szCs w:val="21"/>
              </w:rPr>
              <w:t>检验项目</w:t>
            </w:r>
          </w:p>
        </w:tc>
        <w:tc>
          <w:tcPr>
            <w:tcW w:w="2718" w:type="dxa"/>
            <w:noWrap w:val="0"/>
            <w:vAlign w:val="center"/>
          </w:tcPr>
          <w:p w14:paraId="439AA0C6">
            <w:pPr>
              <w:snapToGrid w:val="0"/>
              <w:spacing w:line="440" w:lineRule="exact"/>
              <w:jc w:val="center"/>
              <w:rPr>
                <w:szCs w:val="21"/>
              </w:rPr>
            </w:pPr>
            <w:r>
              <w:rPr>
                <w:color w:val="000000"/>
                <w:szCs w:val="21"/>
              </w:rPr>
              <w:t>检验方法</w:t>
            </w:r>
          </w:p>
        </w:tc>
      </w:tr>
      <w:tr w14:paraId="6DE9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81" w:type="dxa"/>
            <w:noWrap w:val="0"/>
            <w:vAlign w:val="center"/>
          </w:tcPr>
          <w:p w14:paraId="529FDA79">
            <w:pPr>
              <w:snapToGrid w:val="0"/>
              <w:jc w:val="center"/>
              <w:rPr>
                <w:color w:val="000000"/>
                <w:szCs w:val="21"/>
              </w:rPr>
            </w:pPr>
            <w:r>
              <w:rPr>
                <w:color w:val="000000"/>
                <w:szCs w:val="21"/>
              </w:rPr>
              <w:t>1</w:t>
            </w:r>
          </w:p>
        </w:tc>
        <w:tc>
          <w:tcPr>
            <w:tcW w:w="5475" w:type="dxa"/>
            <w:noWrap w:val="0"/>
            <w:vAlign w:val="center"/>
          </w:tcPr>
          <w:p w14:paraId="7475A8E9">
            <w:pPr>
              <w:snapToGrid w:val="0"/>
              <w:jc w:val="center"/>
              <w:rPr>
                <w:kern w:val="0"/>
                <w:szCs w:val="21"/>
              </w:rPr>
            </w:pPr>
            <w:r>
              <w:rPr>
                <w:kern w:val="0"/>
                <w:szCs w:val="21"/>
              </w:rPr>
              <w:t>VOC含量</w:t>
            </w:r>
          </w:p>
        </w:tc>
        <w:tc>
          <w:tcPr>
            <w:tcW w:w="2718" w:type="dxa"/>
            <w:noWrap w:val="0"/>
            <w:vAlign w:val="center"/>
          </w:tcPr>
          <w:p w14:paraId="12ECA641">
            <w:pPr>
              <w:snapToGrid w:val="0"/>
              <w:jc w:val="center"/>
              <w:rPr>
                <w:rFonts w:hint="eastAsia" w:eastAsia="宋体"/>
                <w:szCs w:val="21"/>
                <w:lang w:eastAsia="zh-CN"/>
              </w:rPr>
            </w:pPr>
            <w:r>
              <w:rPr>
                <w:szCs w:val="21"/>
              </w:rPr>
              <w:t>GB 33372</w:t>
            </w:r>
            <w:r>
              <w:rPr>
                <w:rFonts w:ascii="宋体" w:hAnsi="宋体"/>
                <w:szCs w:val="21"/>
              </w:rPr>
              <w:t>—</w:t>
            </w:r>
            <w:r>
              <w:rPr>
                <w:szCs w:val="21"/>
              </w:rPr>
              <w:t>2020</w:t>
            </w:r>
          </w:p>
        </w:tc>
      </w:tr>
      <w:tr w14:paraId="19FE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81" w:type="dxa"/>
            <w:noWrap w:val="0"/>
            <w:vAlign w:val="center"/>
          </w:tcPr>
          <w:p w14:paraId="47B7BFA1">
            <w:pPr>
              <w:snapToGrid w:val="0"/>
              <w:jc w:val="center"/>
              <w:rPr>
                <w:color w:val="000000"/>
                <w:szCs w:val="21"/>
              </w:rPr>
            </w:pPr>
            <w:r>
              <w:rPr>
                <w:color w:val="000000"/>
                <w:szCs w:val="21"/>
              </w:rPr>
              <w:t>2</w:t>
            </w:r>
          </w:p>
        </w:tc>
        <w:tc>
          <w:tcPr>
            <w:tcW w:w="5475" w:type="dxa"/>
            <w:noWrap w:val="0"/>
            <w:vAlign w:val="center"/>
          </w:tcPr>
          <w:p w14:paraId="531CCE75">
            <w:pPr>
              <w:snapToGrid w:val="0"/>
              <w:jc w:val="center"/>
              <w:rPr>
                <w:kern w:val="0"/>
                <w:szCs w:val="21"/>
              </w:rPr>
            </w:pPr>
            <w:r>
              <w:rPr>
                <w:kern w:val="0"/>
                <w:szCs w:val="21"/>
              </w:rPr>
              <w:t>总挥发性有机物</w:t>
            </w:r>
          </w:p>
        </w:tc>
        <w:tc>
          <w:tcPr>
            <w:tcW w:w="2718" w:type="dxa"/>
            <w:noWrap w:val="0"/>
            <w:vAlign w:val="center"/>
          </w:tcPr>
          <w:p w14:paraId="4FA3BADA">
            <w:pPr>
              <w:snapToGrid w:val="0"/>
              <w:jc w:val="center"/>
              <w:rPr>
                <w:szCs w:val="21"/>
              </w:rPr>
            </w:pPr>
            <w:r>
              <w:rPr>
                <w:szCs w:val="21"/>
              </w:rPr>
              <w:t>GB 18583</w:t>
            </w:r>
            <w:r>
              <w:rPr>
                <w:rFonts w:ascii="宋体" w:hAnsi="宋体"/>
                <w:szCs w:val="21"/>
              </w:rPr>
              <w:t>—</w:t>
            </w:r>
            <w:r>
              <w:rPr>
                <w:szCs w:val="21"/>
              </w:rPr>
              <w:t>2008</w:t>
            </w:r>
          </w:p>
        </w:tc>
      </w:tr>
    </w:tbl>
    <w:p w14:paraId="5D449A1F">
      <w:pPr>
        <w:adjustRightInd w:val="0"/>
        <w:snapToGrid w:val="0"/>
        <w:spacing w:line="360" w:lineRule="auto"/>
        <w:jc w:val="both"/>
        <w:rPr>
          <w:szCs w:val="21"/>
        </w:rPr>
      </w:pPr>
    </w:p>
    <w:p w14:paraId="736D2885">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30337851">
      <w:pPr>
        <w:snapToGrid w:val="0"/>
        <w:spacing w:line="440" w:lineRule="exact"/>
        <w:ind w:firstLine="420" w:firstLineChars="200"/>
        <w:rPr>
          <w:rFonts w:hint="eastAsia"/>
          <w:szCs w:val="21"/>
        </w:rPr>
      </w:pPr>
      <w:r>
        <w:rPr>
          <w:rFonts w:hint="eastAsia"/>
          <w:szCs w:val="21"/>
        </w:rPr>
        <w:t>凡是注日期的文件，其随后所有的修改单（不包括勘误的内容）或修订版不适用于本细则。凡是不注日期的文件，其最新版本适用于本细则。</w:t>
      </w:r>
    </w:p>
    <w:p w14:paraId="6E8E862E">
      <w:pPr>
        <w:spacing w:before="159" w:beforeLines="50" w:line="360" w:lineRule="auto"/>
        <w:rPr>
          <w:rFonts w:eastAsia="黑体"/>
          <w:color w:val="000000"/>
          <w:szCs w:val="21"/>
        </w:rPr>
      </w:pPr>
      <w:r>
        <w:rPr>
          <w:rFonts w:eastAsia="黑体"/>
          <w:color w:val="000000"/>
          <w:szCs w:val="21"/>
        </w:rPr>
        <w:t>3 判定规则</w:t>
      </w:r>
    </w:p>
    <w:p w14:paraId="2E5DB1DB">
      <w:pPr>
        <w:snapToGrid w:val="0"/>
        <w:spacing w:line="440" w:lineRule="exact"/>
        <w:rPr>
          <w:color w:val="000000"/>
          <w:szCs w:val="21"/>
        </w:rPr>
      </w:pPr>
      <w:r>
        <w:rPr>
          <w:color w:val="000000"/>
          <w:szCs w:val="21"/>
        </w:rPr>
        <w:t>3.1依据标准</w:t>
      </w:r>
    </w:p>
    <w:p w14:paraId="272D11C5">
      <w:pPr>
        <w:adjustRightInd w:val="0"/>
        <w:snapToGrid w:val="0"/>
        <w:spacing w:line="400" w:lineRule="exact"/>
        <w:ind w:left="420" w:leftChars="200"/>
        <w:rPr>
          <w:rFonts w:hint="eastAsia" w:asciiTheme="minorEastAsia" w:hAnsiTheme="minorEastAsia" w:eastAsiaTheme="minorEastAsia"/>
          <w:szCs w:val="21"/>
        </w:rPr>
      </w:pPr>
      <w:r>
        <w:rPr>
          <w:rFonts w:hint="eastAsia" w:asciiTheme="minorEastAsia" w:hAnsiTheme="minorEastAsia" w:eastAsiaTheme="minorEastAsia"/>
          <w:szCs w:val="21"/>
        </w:rPr>
        <w:t xml:space="preserve">GB 33372—2020 </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胶粘剂挥发性有机化合物限量</w:t>
      </w:r>
    </w:p>
    <w:p w14:paraId="03ECFF64">
      <w:pPr>
        <w:adjustRightInd w:val="0"/>
        <w:snapToGrid w:val="0"/>
        <w:spacing w:line="400" w:lineRule="exact"/>
        <w:ind w:left="420" w:leftChars="200"/>
        <w:rPr>
          <w:rFonts w:hint="eastAsia"/>
          <w:szCs w:val="21"/>
        </w:rPr>
      </w:pPr>
      <w:r>
        <w:rPr>
          <w:rFonts w:hint="eastAsia" w:asciiTheme="minorEastAsia" w:hAnsiTheme="minorEastAsia" w:eastAsiaTheme="minorEastAsia"/>
          <w:szCs w:val="21"/>
        </w:rPr>
        <w:t>GB</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1858</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-20</w:t>
      </w:r>
      <w:r>
        <w:rPr>
          <w:rFonts w:hint="eastAsia" w:asciiTheme="minorEastAsia" w:hAnsiTheme="minorEastAsia" w:eastAsiaTheme="minorEastAsia"/>
          <w:szCs w:val="21"/>
          <w:lang w:val="en-US" w:eastAsia="zh-CN"/>
        </w:rPr>
        <w:t>08</w:t>
      </w:r>
      <w:r>
        <w:rPr>
          <w:rFonts w:hint="eastAsia" w:asciiTheme="minorEastAsia" w:hAnsiTheme="minorEastAsia" w:eastAsiaTheme="minorEastAsia"/>
          <w:szCs w:val="21"/>
        </w:rPr>
        <w:t xml:space="preserve">   </w:t>
      </w:r>
      <w:r>
        <w:rPr>
          <w:rFonts w:hint="eastAsia"/>
          <w:szCs w:val="21"/>
        </w:rPr>
        <w:t>室内装饰装修材料  胶粘剂中有害物质限量</w:t>
      </w:r>
    </w:p>
    <w:p w14:paraId="233278BF">
      <w:pPr>
        <w:adjustRightInd w:val="0"/>
        <w:snapToGrid w:val="0"/>
        <w:spacing w:line="400" w:lineRule="exact"/>
        <w:ind w:left="420" w:leftChars="200"/>
        <w:rPr>
          <w:rFonts w:hint="default" w:eastAsia="宋体"/>
          <w:szCs w:val="21"/>
          <w:highlight w:val="none"/>
          <w:lang w:val="en-US" w:eastAsia="zh-CN"/>
        </w:rPr>
      </w:pPr>
      <w:r>
        <w:rPr>
          <w:rFonts w:hint="eastAsia" w:asciiTheme="minorEastAsia" w:hAnsiTheme="minorEastAsia" w:eastAsiaTheme="minorEastAsia"/>
          <w:szCs w:val="21"/>
          <w:highlight w:val="none"/>
          <w:lang w:val="en-US" w:eastAsia="zh-CN"/>
        </w:rPr>
        <w:t xml:space="preserve">GB 30982-2014 </w:t>
      </w:r>
      <w:r>
        <w:rPr>
          <w:rFonts w:hint="eastAsia"/>
          <w:szCs w:val="21"/>
          <w:highlight w:val="none"/>
          <w:lang w:val="en-US" w:eastAsia="zh-CN"/>
        </w:rPr>
        <w:t xml:space="preserve">  建筑胶粘剂有害物质限量</w:t>
      </w:r>
    </w:p>
    <w:p w14:paraId="40F9FA15">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199363BC">
      <w:pPr>
        <w:adjustRightInd w:val="0"/>
        <w:snapToGrid w:val="0"/>
        <w:spacing w:line="440" w:lineRule="exact"/>
        <w:rPr>
          <w:color w:val="000000"/>
          <w:szCs w:val="21"/>
        </w:rPr>
      </w:pPr>
      <w:r>
        <w:rPr>
          <w:rFonts w:hint="eastAsia"/>
          <w:color w:val="000000"/>
          <w:szCs w:val="21"/>
        </w:rPr>
        <w:t>3.2判定原则</w:t>
      </w:r>
    </w:p>
    <w:p w14:paraId="04F5E681">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w:t>
      </w:r>
      <w:r>
        <w:rPr>
          <w:rFonts w:hint="eastAsia"/>
          <w:color w:val="000000"/>
          <w:szCs w:val="21"/>
          <w:lang w:eastAsia="zh-CN"/>
        </w:rPr>
        <w:t>所检项目未发现不</w:t>
      </w:r>
      <w:r>
        <w:rPr>
          <w:rFonts w:hint="eastAsia"/>
          <w:color w:val="000000"/>
          <w:szCs w:val="21"/>
        </w:rPr>
        <w:t>合格；检验项目中任一项或一项以上不合格，判定为被抽查产品不合格。</w:t>
      </w:r>
    </w:p>
    <w:p w14:paraId="029E894F">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7B6D9FC1">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1EF275AF">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524C3098">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2EADC7C4">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14:paraId="5D4C12F1">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22A0BE9E">
      <w:pPr>
        <w:spacing w:line="400" w:lineRule="exact"/>
        <w:ind w:firstLine="420" w:firstLineChars="200"/>
        <w:rPr>
          <w:color w:val="000000"/>
          <w:szCs w:val="21"/>
        </w:rPr>
      </w:pPr>
      <w:r>
        <w:rPr>
          <w:rFonts w:hint="eastAsia" w:ascii="宋体" w:hAnsi="宋体"/>
        </w:rPr>
        <w:t>本细则由安徽省产品质量监督检验研究院编制，</w:t>
      </w:r>
      <w:r>
        <w:rPr>
          <w:rFonts w:hint="eastAsia" w:ascii="宋体" w:hAnsi="宋体"/>
          <w:lang w:val="en-US" w:eastAsia="zh-CN"/>
        </w:rPr>
        <w:t>六安</w:t>
      </w:r>
      <w:r>
        <w:rPr>
          <w:rFonts w:hint="eastAsia" w:ascii="宋体" w:hAnsi="宋体"/>
        </w:rPr>
        <w:t>市市场监督管理局管理。</w:t>
      </w: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950A5">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6CE186D9">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1FDD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hMzUxMzQxZjA0YjQ5MGJhMWFmOTEyMjljNDUwMzAifQ=="/>
  </w:docVars>
  <w:rsids>
    <w:rsidRoot w:val="00172A27"/>
    <w:rsid w:val="00001D7E"/>
    <w:rsid w:val="00012EEB"/>
    <w:rsid w:val="00051A44"/>
    <w:rsid w:val="00052092"/>
    <w:rsid w:val="000770C5"/>
    <w:rsid w:val="0008032C"/>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775B9"/>
    <w:rsid w:val="002A25C4"/>
    <w:rsid w:val="002B2F08"/>
    <w:rsid w:val="002D7F8A"/>
    <w:rsid w:val="002E0D1D"/>
    <w:rsid w:val="002E3205"/>
    <w:rsid w:val="003203A3"/>
    <w:rsid w:val="00325485"/>
    <w:rsid w:val="00327885"/>
    <w:rsid w:val="003B65A7"/>
    <w:rsid w:val="003C388C"/>
    <w:rsid w:val="003D37E6"/>
    <w:rsid w:val="003D6DF1"/>
    <w:rsid w:val="003E011E"/>
    <w:rsid w:val="003E61BF"/>
    <w:rsid w:val="004427CF"/>
    <w:rsid w:val="00445E86"/>
    <w:rsid w:val="00462566"/>
    <w:rsid w:val="00467E74"/>
    <w:rsid w:val="00474E04"/>
    <w:rsid w:val="00483AC6"/>
    <w:rsid w:val="004962E3"/>
    <w:rsid w:val="004A0936"/>
    <w:rsid w:val="004A19E6"/>
    <w:rsid w:val="004C7701"/>
    <w:rsid w:val="004D0C5A"/>
    <w:rsid w:val="004E1396"/>
    <w:rsid w:val="004E7C02"/>
    <w:rsid w:val="00513FEA"/>
    <w:rsid w:val="00563EBC"/>
    <w:rsid w:val="00585975"/>
    <w:rsid w:val="0059238A"/>
    <w:rsid w:val="005B64D3"/>
    <w:rsid w:val="005E2291"/>
    <w:rsid w:val="005F4CC6"/>
    <w:rsid w:val="00666E54"/>
    <w:rsid w:val="00684243"/>
    <w:rsid w:val="006A0B42"/>
    <w:rsid w:val="006A513E"/>
    <w:rsid w:val="006B79A8"/>
    <w:rsid w:val="006E213C"/>
    <w:rsid w:val="006F0971"/>
    <w:rsid w:val="0072334C"/>
    <w:rsid w:val="00736DEA"/>
    <w:rsid w:val="00755136"/>
    <w:rsid w:val="007928F3"/>
    <w:rsid w:val="008139C8"/>
    <w:rsid w:val="00871617"/>
    <w:rsid w:val="00895BEA"/>
    <w:rsid w:val="008A3497"/>
    <w:rsid w:val="008B1BD3"/>
    <w:rsid w:val="00917A54"/>
    <w:rsid w:val="009236D8"/>
    <w:rsid w:val="009249EF"/>
    <w:rsid w:val="00926C29"/>
    <w:rsid w:val="00930572"/>
    <w:rsid w:val="009865FB"/>
    <w:rsid w:val="009D5E02"/>
    <w:rsid w:val="009E01DE"/>
    <w:rsid w:val="009E2550"/>
    <w:rsid w:val="009E4DB8"/>
    <w:rsid w:val="009F7375"/>
    <w:rsid w:val="00A07E66"/>
    <w:rsid w:val="00A43553"/>
    <w:rsid w:val="00A62E74"/>
    <w:rsid w:val="00A760C9"/>
    <w:rsid w:val="00A90157"/>
    <w:rsid w:val="00A902CC"/>
    <w:rsid w:val="00AD5A48"/>
    <w:rsid w:val="00AF24AF"/>
    <w:rsid w:val="00B97B76"/>
    <w:rsid w:val="00BE63DC"/>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9234C9E"/>
    <w:rsid w:val="0BF3562B"/>
    <w:rsid w:val="11473DDB"/>
    <w:rsid w:val="1A784B4A"/>
    <w:rsid w:val="1AAA7366"/>
    <w:rsid w:val="1AE6196C"/>
    <w:rsid w:val="1B7C58B1"/>
    <w:rsid w:val="1B9113EA"/>
    <w:rsid w:val="1BFE5337"/>
    <w:rsid w:val="1C9275AA"/>
    <w:rsid w:val="1D321DCD"/>
    <w:rsid w:val="20971BF9"/>
    <w:rsid w:val="22096B18"/>
    <w:rsid w:val="2AE961D0"/>
    <w:rsid w:val="3763665C"/>
    <w:rsid w:val="43680C43"/>
    <w:rsid w:val="447D52C5"/>
    <w:rsid w:val="45D91965"/>
    <w:rsid w:val="48793C98"/>
    <w:rsid w:val="4AB52972"/>
    <w:rsid w:val="4F4A4DD0"/>
    <w:rsid w:val="50356864"/>
    <w:rsid w:val="50387557"/>
    <w:rsid w:val="51B16CB1"/>
    <w:rsid w:val="56DC0F52"/>
    <w:rsid w:val="575527A0"/>
    <w:rsid w:val="5DDF5FFC"/>
    <w:rsid w:val="60F13276"/>
    <w:rsid w:val="636B2161"/>
    <w:rsid w:val="64F8164D"/>
    <w:rsid w:val="65530838"/>
    <w:rsid w:val="66224DE9"/>
    <w:rsid w:val="6B971614"/>
    <w:rsid w:val="6BD10094"/>
    <w:rsid w:val="6C9E3369"/>
    <w:rsid w:val="6CD35E8B"/>
    <w:rsid w:val="6CFA0C50"/>
    <w:rsid w:val="7066321C"/>
    <w:rsid w:val="78DD0E07"/>
    <w:rsid w:val="7BEF7469"/>
    <w:rsid w:val="7EDB396C"/>
    <w:rsid w:val="7F0035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ody Text Indent"/>
    <w:basedOn w:val="1"/>
    <w:autoRedefine/>
    <w:unhideWhenUsed/>
    <w:qFormat/>
    <w:uiPriority w:val="99"/>
    <w:pPr>
      <w:ind w:left="420" w:leftChars="200"/>
    </w:pPr>
  </w:style>
  <w:style w:type="paragraph" w:styleId="4">
    <w:name w:val="Balloon Text"/>
    <w:basedOn w:val="1"/>
    <w:link w:val="14"/>
    <w:autoRedefine/>
    <w:semiHidden/>
    <w:unhideWhenUsed/>
    <w:qFormat/>
    <w:uiPriority w:val="99"/>
    <w:rPr>
      <w:sz w:val="18"/>
      <w:szCs w:val="18"/>
    </w:rPr>
  </w:style>
  <w:style w:type="paragraph" w:styleId="5">
    <w:name w:val="footer"/>
    <w:basedOn w:val="1"/>
    <w:link w:val="11"/>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autoRedefine/>
    <w:unhideWhenUsed/>
    <w:qFormat/>
    <w:uiPriority w:val="99"/>
    <w:pPr>
      <w:ind w:firstLine="420" w:firstLineChars="200"/>
    </w:pPr>
  </w:style>
  <w:style w:type="character" w:styleId="10">
    <w:name w:val="page number"/>
    <w:basedOn w:val="9"/>
    <w:autoRedefine/>
    <w:qFormat/>
    <w:uiPriority w:val="0"/>
  </w:style>
  <w:style w:type="character" w:customStyle="1" w:styleId="11">
    <w:name w:val="页脚 Char"/>
    <w:basedOn w:val="9"/>
    <w:link w:val="5"/>
    <w:autoRedefine/>
    <w:qFormat/>
    <w:uiPriority w:val="99"/>
    <w:rPr>
      <w:kern w:val="2"/>
      <w:sz w:val="18"/>
      <w:szCs w:val="18"/>
    </w:rPr>
  </w:style>
  <w:style w:type="character" w:customStyle="1" w:styleId="12">
    <w:name w:val="页眉 Char"/>
    <w:basedOn w:val="9"/>
    <w:link w:val="6"/>
    <w:autoRedefine/>
    <w:semiHidden/>
    <w:qFormat/>
    <w:uiPriority w:val="99"/>
    <w:rPr>
      <w:kern w:val="2"/>
      <w:sz w:val="18"/>
      <w:szCs w:val="18"/>
    </w:rPr>
  </w:style>
  <w:style w:type="paragraph" w:customStyle="1" w:styleId="13">
    <w:name w:val="列出段落1"/>
    <w:basedOn w:val="1"/>
    <w:autoRedefine/>
    <w:qFormat/>
    <w:uiPriority w:val="34"/>
    <w:pPr>
      <w:ind w:firstLine="420" w:firstLineChars="200"/>
    </w:pPr>
    <w:rPr>
      <w:rFonts w:ascii="Calibri" w:hAnsi="Calibri"/>
      <w:szCs w:val="22"/>
    </w:rPr>
  </w:style>
  <w:style w:type="character" w:customStyle="1" w:styleId="14">
    <w:name w:val="批注框文本 Char"/>
    <w:basedOn w:val="9"/>
    <w:link w:val="4"/>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1519</Words>
  <Characters>1818</Characters>
  <Lines>118</Lines>
  <Paragraphs>126</Paragraphs>
  <TotalTime>0</TotalTime>
  <ScaleCrop>false</ScaleCrop>
  <LinksUpToDate>false</LinksUpToDate>
  <CharactersWithSpaces>1871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南öホビブï约</cp:lastModifiedBy>
  <cp:lastPrinted>2022-02-24T00:43:00Z</cp:lastPrinted>
  <dcterms:modified xsi:type="dcterms:W3CDTF">2026-04-17T09:53:12Z</dcterms:modified>
  <dc:title>××产品质量监督抽查实施细则</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2C5C9DB5DD774F588718907475F8D346_13</vt:lpwstr>
  </property>
  <property fmtid="{D5CDD505-2E9C-101B-9397-08002B2CF9AE}" pid="4" name="KSOTemplateDocerSaveRecord">
    <vt:lpwstr>eyJoZGlkIjoiMDg2NTdhY2VjMjJlZmYxZmE1OGI0MDk3MGIwYjhhMDUiLCJ1c2VySWQiOiIyNDI4ODE5NDQifQ==</vt:lpwstr>
  </property>
</Properties>
</file>