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eastAsia="方正小标宋简体"/>
          <w:color w:val="000000"/>
          <w:sz w:val="32"/>
          <w:szCs w:val="32"/>
        </w:rPr>
      </w:pPr>
      <w:r>
        <w:rPr>
          <w:rFonts w:hint="eastAsia" w:eastAsia="方正小标宋简体"/>
          <w:color w:val="000000"/>
          <w:sz w:val="32"/>
          <w:szCs w:val="32"/>
        </w:rPr>
        <w:t>202</w:t>
      </w:r>
      <w:r>
        <w:rPr>
          <w:rFonts w:hint="eastAsia" w:eastAsia="方正小标宋简体"/>
          <w:color w:val="000000"/>
          <w:sz w:val="32"/>
          <w:szCs w:val="32"/>
          <w:lang w:val="en-US" w:eastAsia="zh-CN"/>
        </w:rPr>
        <w:t>6</w:t>
      </w:r>
      <w:r>
        <w:rPr>
          <w:rFonts w:hint="eastAsia" w:eastAsia="方正小标宋简体"/>
          <w:color w:val="000000"/>
          <w:sz w:val="32"/>
          <w:szCs w:val="32"/>
        </w:rPr>
        <w:t>年</w:t>
      </w:r>
      <w:r>
        <w:rPr>
          <w:rFonts w:hint="eastAsia" w:eastAsia="方正小标宋简体"/>
          <w:color w:val="000000"/>
          <w:sz w:val="32"/>
          <w:szCs w:val="32"/>
          <w:lang w:eastAsia="zh-CN"/>
        </w:rPr>
        <w:t>六安</w:t>
      </w:r>
      <w:r>
        <w:rPr>
          <w:rFonts w:hint="eastAsia" w:eastAsia="方正小标宋简体"/>
          <w:color w:val="000000"/>
          <w:sz w:val="32"/>
          <w:szCs w:val="32"/>
        </w:rPr>
        <w:t>市</w:t>
      </w:r>
      <w:r>
        <w:rPr>
          <w:rFonts w:hint="eastAsia" w:eastAsia="方正小标宋简体"/>
          <w:color w:val="000000"/>
          <w:sz w:val="32"/>
          <w:szCs w:val="32"/>
          <w:lang w:val="en-US" w:eastAsia="zh-CN"/>
        </w:rPr>
        <w:t>电动自行车充电桩</w:t>
      </w:r>
      <w:r>
        <w:rPr>
          <w:rFonts w:eastAsia="方正小标宋简体"/>
          <w:color w:val="000000"/>
          <w:sz w:val="32"/>
          <w:szCs w:val="32"/>
        </w:rPr>
        <w:t>产品质量监督抽查实施细则</w:t>
      </w:r>
    </w:p>
    <w:p>
      <w:pPr>
        <w:snapToGrid w:val="0"/>
        <w:spacing w:line="440" w:lineRule="exact"/>
        <w:jc w:val="center"/>
        <w:rPr>
          <w:rFonts w:eastAsia="方正小标宋简体"/>
          <w:color w:val="000000"/>
          <w:sz w:val="32"/>
          <w:szCs w:val="32"/>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rFonts w:ascii="宋体" w:hAnsi="宋体"/>
          <w:color w:val="000000"/>
          <w:szCs w:val="21"/>
        </w:rPr>
      </w:pPr>
      <w:r>
        <w:rPr>
          <w:rFonts w:hint="eastAsia" w:ascii="宋体" w:hAnsi="宋体"/>
          <w:color w:val="000000"/>
          <w:szCs w:val="21"/>
        </w:rPr>
        <w:t>随机数一般可使用随机数表等方法产生。</w:t>
      </w:r>
    </w:p>
    <w:p>
      <w:pPr>
        <w:snapToGrid w:val="0"/>
        <w:spacing w:line="440" w:lineRule="exact"/>
        <w:ind w:firstLine="420" w:firstLineChars="200"/>
        <w:rPr>
          <w:color w:val="000000"/>
          <w:szCs w:val="21"/>
        </w:rPr>
      </w:pPr>
      <w:r>
        <w:rPr>
          <w:color w:val="000000"/>
          <w:szCs w:val="21"/>
        </w:rPr>
        <w:t>每批次产品抽</w:t>
      </w:r>
      <w:r>
        <w:rPr>
          <w:color w:val="000000"/>
          <w:szCs w:val="21"/>
          <w:highlight w:val="none"/>
        </w:rPr>
        <w:t>取样品</w:t>
      </w:r>
      <w:r>
        <w:rPr>
          <w:rFonts w:hint="eastAsia"/>
          <w:color w:val="000000"/>
          <w:szCs w:val="21"/>
          <w:highlight w:val="none"/>
          <w:lang w:val="en-US" w:eastAsia="zh-CN"/>
        </w:rPr>
        <w:t>1</w:t>
      </w:r>
      <w:r>
        <w:rPr>
          <w:color w:val="000000"/>
          <w:szCs w:val="21"/>
          <w:highlight w:val="none"/>
        </w:rPr>
        <w:t>套，其中</w:t>
      </w:r>
      <w:r>
        <w:rPr>
          <w:rFonts w:hint="eastAsia"/>
          <w:color w:val="000000"/>
          <w:szCs w:val="21"/>
          <w:highlight w:val="none"/>
          <w:lang w:val="en-US" w:eastAsia="zh-CN"/>
        </w:rPr>
        <w:t>1</w:t>
      </w:r>
      <w:r>
        <w:rPr>
          <w:color w:val="000000"/>
          <w:szCs w:val="21"/>
          <w:highlight w:val="none"/>
        </w:rPr>
        <w:t>套作为检</w:t>
      </w:r>
      <w:r>
        <w:rPr>
          <w:color w:val="000000"/>
          <w:szCs w:val="21"/>
        </w:rPr>
        <w:t>验样品，</w:t>
      </w:r>
      <w:r>
        <w:rPr>
          <w:rFonts w:hint="eastAsia"/>
          <w:color w:val="000000"/>
          <w:szCs w:val="21"/>
        </w:rPr>
        <w:t>1</w:t>
      </w:r>
      <w:r>
        <w:rPr>
          <w:color w:val="000000"/>
          <w:szCs w:val="21"/>
        </w:rPr>
        <w:t>套作为备用样品。</w:t>
      </w:r>
    </w:p>
    <w:p>
      <w:pPr>
        <w:snapToGrid w:val="0"/>
        <w:spacing w:line="440" w:lineRule="exact"/>
        <w:ind w:firstLine="420" w:firstLineChars="200"/>
        <w:rPr>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jc w:val="center"/>
        <w:rPr>
          <w:rFonts w:eastAsia="黑体"/>
          <w:color w:val="000000"/>
          <w:szCs w:val="21"/>
        </w:rPr>
      </w:pPr>
      <w:r>
        <w:rPr>
          <w:rFonts w:hint="eastAsia" w:ascii="宋体" w:hAnsi="宋体"/>
          <w:b w:val="0"/>
          <w:bCs/>
          <w:highlight w:val="none"/>
          <w:lang w:eastAsia="zh-CN"/>
        </w:rPr>
        <w:t>表</w:t>
      </w:r>
      <w:r>
        <w:rPr>
          <w:rFonts w:hint="eastAsia" w:ascii="宋体" w:hAnsi="宋体"/>
          <w:b w:val="0"/>
          <w:bCs/>
          <w:highlight w:val="none"/>
          <w:lang w:val="en-US" w:eastAsia="zh-CN"/>
        </w:rPr>
        <w:t xml:space="preserve">1 </w:t>
      </w:r>
      <w:r>
        <w:rPr>
          <w:rFonts w:hint="eastAsia" w:ascii="宋体" w:hAnsi="宋体" w:eastAsia="宋体" w:cs="宋体"/>
        </w:rPr>
        <w:t>检验项目及检验方法</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17"/>
        <w:gridCol w:w="3982"/>
        <w:gridCol w:w="34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tcPr>
          <w:p>
            <w:pPr>
              <w:snapToGrid w:val="0"/>
              <w:spacing w:line="440" w:lineRule="exact"/>
              <w:jc w:val="center"/>
              <w:rPr>
                <w:color w:val="000000"/>
                <w:szCs w:val="21"/>
              </w:rPr>
            </w:pPr>
            <w:r>
              <w:rPr>
                <w:color w:val="000000"/>
                <w:szCs w:val="21"/>
              </w:rPr>
              <w:t>序号</w:t>
            </w:r>
          </w:p>
        </w:tc>
        <w:tc>
          <w:tcPr>
            <w:tcW w:w="3982" w:type="dxa"/>
          </w:tcPr>
          <w:p>
            <w:pPr>
              <w:snapToGrid w:val="0"/>
              <w:spacing w:line="440" w:lineRule="exact"/>
              <w:jc w:val="center"/>
              <w:rPr>
                <w:color w:val="000000"/>
                <w:szCs w:val="21"/>
              </w:rPr>
            </w:pPr>
            <w:r>
              <w:rPr>
                <w:color w:val="000000"/>
                <w:szCs w:val="21"/>
              </w:rPr>
              <w:t>检验项目</w:t>
            </w:r>
          </w:p>
        </w:tc>
        <w:tc>
          <w:tcPr>
            <w:tcW w:w="3416" w:type="dxa"/>
          </w:tcPr>
          <w:p>
            <w:pPr>
              <w:snapToGrid w:val="0"/>
              <w:spacing w:line="440" w:lineRule="exact"/>
              <w:jc w:val="center"/>
              <w:rPr>
                <w:color w:val="000000"/>
                <w:szCs w:val="21"/>
              </w:rPr>
            </w:pPr>
            <w:r>
              <w:rPr>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pStyle w:val="13"/>
              <w:numPr>
                <w:ilvl w:val="0"/>
                <w:numId w:val="0"/>
              </w:numPr>
              <w:ind w:leftChars="0"/>
              <w:jc w:val="center"/>
              <w:rPr>
                <w:rFonts w:hint="eastAsia" w:eastAsia="宋体"/>
                <w:kern w:val="0"/>
                <w:lang w:val="en-US" w:eastAsia="zh-CN"/>
              </w:rPr>
            </w:pPr>
            <w:r>
              <w:rPr>
                <w:rFonts w:hint="eastAsia"/>
                <w:kern w:val="0"/>
                <w:lang w:val="en-US" w:eastAsia="zh-CN"/>
              </w:rPr>
              <w:t>1</w:t>
            </w:r>
          </w:p>
        </w:tc>
        <w:tc>
          <w:tcPr>
            <w:tcW w:w="3982" w:type="dxa"/>
            <w:vAlign w:val="center"/>
          </w:tcPr>
          <w:p>
            <w:pPr>
              <w:jc w:val="center"/>
              <w:rPr>
                <w:rFonts w:hint="default" w:eastAsia="宋体"/>
                <w:lang w:val="en-US" w:eastAsia="zh-CN"/>
              </w:rPr>
            </w:pPr>
            <w:r>
              <w:rPr>
                <w:rFonts w:hint="eastAsia"/>
                <w:lang w:val="en-US" w:eastAsia="zh-CN"/>
              </w:rPr>
              <w:t>输入保护要求</w:t>
            </w:r>
          </w:p>
        </w:tc>
        <w:tc>
          <w:tcPr>
            <w:tcW w:w="3416" w:type="dxa"/>
            <w:vAlign w:val="center"/>
          </w:tcPr>
          <w:p>
            <w:pPr>
              <w:jc w:val="center"/>
            </w:pPr>
            <w:r>
              <w:rPr>
                <w:rFonts w:hint="eastAsia"/>
              </w:rPr>
              <w:t>GB/T 42236.1—2022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pStyle w:val="13"/>
              <w:numPr>
                <w:ilvl w:val="0"/>
                <w:numId w:val="0"/>
              </w:numPr>
              <w:ind w:leftChars="0"/>
              <w:jc w:val="center"/>
              <w:rPr>
                <w:rFonts w:hint="eastAsia" w:eastAsia="宋体"/>
                <w:kern w:val="0"/>
                <w:lang w:val="en-US" w:eastAsia="zh-CN"/>
              </w:rPr>
            </w:pPr>
            <w:r>
              <w:rPr>
                <w:rFonts w:hint="eastAsia"/>
                <w:kern w:val="0"/>
                <w:lang w:val="en-US" w:eastAsia="zh-CN"/>
              </w:rPr>
              <w:t>2</w:t>
            </w:r>
          </w:p>
        </w:tc>
        <w:tc>
          <w:tcPr>
            <w:tcW w:w="3982" w:type="dxa"/>
            <w:vAlign w:val="center"/>
          </w:tcPr>
          <w:p>
            <w:pPr>
              <w:jc w:val="center"/>
              <w:rPr>
                <w:rFonts w:hint="default" w:eastAsia="宋体"/>
                <w:lang w:val="en-US" w:eastAsia="zh-CN"/>
              </w:rPr>
            </w:pPr>
            <w:r>
              <w:rPr>
                <w:rFonts w:hint="eastAsia"/>
                <w:lang w:val="en-US" w:eastAsia="zh-CN"/>
              </w:rPr>
              <w:t>电气保护要求</w:t>
            </w:r>
          </w:p>
        </w:tc>
        <w:tc>
          <w:tcPr>
            <w:tcW w:w="3416" w:type="dxa"/>
            <w:vAlign w:val="center"/>
          </w:tcPr>
          <w:p>
            <w:pPr>
              <w:jc w:val="center"/>
            </w:pPr>
            <w:r>
              <w:rPr>
                <w:rFonts w:hint="eastAsia"/>
              </w:rPr>
              <w:t>GB/T 42236.1—2022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pStyle w:val="13"/>
              <w:numPr>
                <w:ilvl w:val="0"/>
                <w:numId w:val="0"/>
              </w:numPr>
              <w:ind w:leftChars="0"/>
              <w:jc w:val="center"/>
              <w:rPr>
                <w:rFonts w:hint="eastAsia" w:eastAsia="宋体"/>
                <w:kern w:val="0"/>
                <w:lang w:val="en-US" w:eastAsia="zh-CN"/>
              </w:rPr>
            </w:pPr>
            <w:r>
              <w:rPr>
                <w:rFonts w:hint="eastAsia"/>
                <w:kern w:val="0"/>
                <w:lang w:val="en-US" w:eastAsia="zh-CN"/>
              </w:rPr>
              <w:t>3</w:t>
            </w:r>
          </w:p>
        </w:tc>
        <w:tc>
          <w:tcPr>
            <w:tcW w:w="3982" w:type="dxa"/>
            <w:vAlign w:val="center"/>
          </w:tcPr>
          <w:p>
            <w:pPr>
              <w:jc w:val="center"/>
              <w:rPr>
                <w:rFonts w:hint="default" w:eastAsia="宋体"/>
                <w:lang w:val="en-US" w:eastAsia="zh-CN"/>
              </w:rPr>
            </w:pPr>
            <w:r>
              <w:rPr>
                <w:rFonts w:hint="eastAsia"/>
                <w:lang w:val="en-US" w:eastAsia="zh-CN"/>
              </w:rPr>
              <w:t>输入开关要求</w:t>
            </w:r>
          </w:p>
        </w:tc>
        <w:tc>
          <w:tcPr>
            <w:tcW w:w="3416" w:type="dxa"/>
            <w:vAlign w:val="center"/>
          </w:tcPr>
          <w:p>
            <w:pPr>
              <w:jc w:val="center"/>
            </w:pPr>
            <w:r>
              <w:rPr>
                <w:rFonts w:hint="eastAsia"/>
              </w:rPr>
              <w:t>GB/T 42236.1—2022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pStyle w:val="13"/>
              <w:numPr>
                <w:ilvl w:val="0"/>
                <w:numId w:val="0"/>
              </w:numPr>
              <w:ind w:leftChars="0"/>
              <w:jc w:val="center"/>
              <w:rPr>
                <w:rFonts w:hint="eastAsia" w:eastAsia="宋体"/>
                <w:kern w:val="0"/>
                <w:lang w:val="en-US" w:eastAsia="zh-CN"/>
              </w:rPr>
            </w:pPr>
            <w:r>
              <w:rPr>
                <w:rFonts w:hint="eastAsia"/>
                <w:kern w:val="0"/>
                <w:lang w:val="en-US" w:eastAsia="zh-CN"/>
              </w:rPr>
              <w:t>4</w:t>
            </w:r>
          </w:p>
        </w:tc>
        <w:tc>
          <w:tcPr>
            <w:tcW w:w="3982" w:type="dxa"/>
            <w:vAlign w:val="center"/>
          </w:tcPr>
          <w:p>
            <w:pPr>
              <w:jc w:val="center"/>
              <w:rPr>
                <w:rFonts w:hint="default" w:eastAsia="宋体"/>
                <w:lang w:val="en-US" w:eastAsia="zh-CN"/>
              </w:rPr>
            </w:pPr>
            <w:r>
              <w:rPr>
                <w:rFonts w:hint="eastAsia"/>
                <w:lang w:val="en-US" w:eastAsia="zh-CN"/>
              </w:rPr>
              <w:t>电气绝缘性能</w:t>
            </w:r>
          </w:p>
        </w:tc>
        <w:tc>
          <w:tcPr>
            <w:tcW w:w="3416" w:type="dxa"/>
            <w:vAlign w:val="center"/>
          </w:tcPr>
          <w:p>
            <w:pPr>
              <w:jc w:val="center"/>
            </w:pPr>
            <w:r>
              <w:rPr>
                <w:rFonts w:hint="eastAsia"/>
              </w:rPr>
              <w:t>GB/T 42236.1—2022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17" w:type="dxa"/>
            <w:vAlign w:val="center"/>
          </w:tcPr>
          <w:p>
            <w:pPr>
              <w:pStyle w:val="13"/>
              <w:numPr>
                <w:ilvl w:val="0"/>
                <w:numId w:val="0"/>
              </w:numPr>
              <w:ind w:leftChars="0"/>
              <w:jc w:val="center"/>
              <w:rPr>
                <w:rFonts w:hint="eastAsia" w:eastAsia="宋体"/>
                <w:kern w:val="0"/>
                <w:lang w:val="en-US" w:eastAsia="zh-CN"/>
              </w:rPr>
            </w:pPr>
            <w:r>
              <w:rPr>
                <w:rFonts w:hint="eastAsia"/>
                <w:kern w:val="0"/>
                <w:lang w:val="en-US" w:eastAsia="zh-CN"/>
              </w:rPr>
              <w:t>5</w:t>
            </w:r>
          </w:p>
        </w:tc>
        <w:tc>
          <w:tcPr>
            <w:tcW w:w="3982" w:type="dxa"/>
            <w:vAlign w:val="center"/>
          </w:tcPr>
          <w:p>
            <w:pPr>
              <w:jc w:val="center"/>
              <w:rPr>
                <w:rFonts w:hint="default" w:eastAsia="宋体"/>
                <w:lang w:val="en-US" w:eastAsia="zh-CN"/>
              </w:rPr>
            </w:pPr>
            <w:r>
              <w:rPr>
                <w:rFonts w:hint="eastAsia"/>
                <w:lang w:val="en-US" w:eastAsia="zh-CN"/>
              </w:rPr>
              <w:t>电击防护要求</w:t>
            </w:r>
          </w:p>
        </w:tc>
        <w:tc>
          <w:tcPr>
            <w:tcW w:w="3416" w:type="dxa"/>
            <w:vAlign w:val="center"/>
          </w:tcPr>
          <w:p>
            <w:pPr>
              <w:jc w:val="center"/>
            </w:pPr>
            <w:r>
              <w:rPr>
                <w:rFonts w:hint="eastAsia"/>
              </w:rPr>
              <w:t>GB/T 42236.1—2022</w:t>
            </w:r>
          </w:p>
        </w:tc>
      </w:tr>
    </w:tbl>
    <w:p>
      <w:pPr>
        <w:snapToGrid w:val="0"/>
        <w:spacing w:line="440" w:lineRule="exact"/>
        <w:ind w:firstLine="420" w:firstLineChars="200"/>
        <w:rPr>
          <w:szCs w:val="21"/>
        </w:rPr>
      </w:pPr>
      <w:r>
        <w:rPr>
          <w:rFonts w:hint="eastAsia"/>
          <w:szCs w:val="21"/>
        </w:rPr>
        <w:t>执行企业标准、团体标准、地方标准的产品，检验项目参照上述内容执行。</w:t>
      </w:r>
    </w:p>
    <w:p>
      <w:pPr>
        <w:snapToGrid w:val="0"/>
        <w:spacing w:line="440" w:lineRule="exact"/>
        <w:ind w:firstLine="420" w:firstLineChars="200"/>
        <w:rPr>
          <w:szCs w:val="21"/>
        </w:rPr>
      </w:pPr>
      <w:r>
        <w:rPr>
          <w:rFonts w:hint="eastAsia"/>
          <w:szCs w:val="21"/>
        </w:rPr>
        <w:t>凡是注日期的文件，其随后所有的修改单（不包括勘误的内容）或修订版不适用于本细则。凡是不注日期的文件，其最新版本适用于本细则。</w:t>
      </w:r>
    </w:p>
    <w:p>
      <w:pPr>
        <w:snapToGrid w:val="0"/>
        <w:spacing w:line="440" w:lineRule="exact"/>
        <w:ind w:firstLine="420" w:firstLineChars="200"/>
        <w:rPr>
          <w:rFonts w:eastAsiaTheme="minorEastAsia"/>
          <w:szCs w:val="21"/>
        </w:rPr>
      </w:pPr>
    </w:p>
    <w:p>
      <w:pPr>
        <w:spacing w:before="159" w:beforeLines="50" w:line="360" w:lineRule="auto"/>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rPr>
          <w:rFonts w:hint="eastAsia"/>
          <w:szCs w:val="21"/>
        </w:rPr>
      </w:pPr>
      <w:r>
        <w:rPr>
          <w:rFonts w:hint="eastAsia"/>
          <w:szCs w:val="21"/>
        </w:rPr>
        <w:t>GB/T 42236.1—2022 电动自行车集中充电设施 第1部分：技术规范</w:t>
      </w:r>
    </w:p>
    <w:p>
      <w:pPr>
        <w:snapToGrid w:val="0"/>
        <w:spacing w:line="440" w:lineRule="exact"/>
        <w:ind w:firstLine="420" w:firstLineChars="200"/>
        <w:rPr>
          <w:color w:val="000000"/>
          <w:szCs w:val="21"/>
        </w:rPr>
      </w:pPr>
      <w:bookmarkStart w:id="0" w:name="_GoBack"/>
      <w:bookmarkEnd w:id="0"/>
      <w:r>
        <w:rPr>
          <w:color w:val="000000"/>
          <w:szCs w:val="21"/>
        </w:rPr>
        <w:t>现行有效的企业标准、团体标准、地方标准及产品明示质量要求</w:t>
      </w:r>
    </w:p>
    <w:p>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3.2  判定原则</w:t>
      </w:r>
    </w:p>
    <w:p>
      <w:pPr>
        <w:adjustRightInd w:val="0"/>
        <w:snapToGrid w:val="0"/>
        <w:spacing w:line="440" w:lineRule="exact"/>
        <w:ind w:firstLine="420" w:firstLineChars="200"/>
        <w:rPr>
          <w:rFonts w:hint="eastAsia"/>
          <w:color w:val="000000"/>
          <w:highlight w:val="none"/>
        </w:rPr>
      </w:pPr>
      <w:r>
        <w:rPr>
          <w:rFonts w:hint="eastAsia"/>
          <w:color w:val="000000"/>
          <w:highlight w:val="none"/>
        </w:rPr>
        <w:t>经检验，检验项目全部合格，判定为被抽查产品所检项目未发现不合格；检验项目中任一项或一项以上不合格，判定为被抽查产品不合格。</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若被检产品明示的质量要求高于本细则中检验项目依据的标准要求时，应按被检产品明示的质量要求判定。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若被检产品明示的质量要求低于本细则中检验项目依据的强制性标准要求时，应按照强制性标准要求判定。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若被检产品明示的质量要求低于或包含本细则中检验项目依据的推荐性标准要求时，应以被检产品明示的质量要求判定。</w:t>
      </w:r>
    </w:p>
    <w:p>
      <w:pPr>
        <w:adjustRightInd w:val="0"/>
        <w:snapToGrid w:val="0"/>
        <w:spacing w:line="440" w:lineRule="exact"/>
        <w:ind w:firstLine="420" w:firstLineChars="200"/>
        <w:rPr>
          <w:rFonts w:hint="eastAsia"/>
          <w:color w:val="000000"/>
          <w:highlight w:val="none"/>
        </w:rPr>
      </w:pPr>
      <w:r>
        <w:rPr>
          <w:rFonts w:hint="eastAsia"/>
          <w:color w:val="000000"/>
          <w:highlight w:val="none"/>
        </w:rPr>
        <w:t>若被检产品明示的质量要求缺少本细则中检验项目依据的强制性标准要求时，应按照强制性标准要求判定。</w:t>
      </w:r>
    </w:p>
    <w:p>
      <w:pPr>
        <w:adjustRightInd w:val="0"/>
        <w:snapToGrid w:val="0"/>
        <w:spacing w:line="440" w:lineRule="exact"/>
        <w:ind w:firstLine="420" w:firstLineChars="200"/>
        <w:rPr>
          <w:rFonts w:hint="eastAsia" w:ascii="宋体" w:hAnsi="宋体"/>
          <w:b/>
          <w:lang w:val="en-US" w:eastAsia="zh-CN"/>
        </w:rPr>
      </w:pPr>
      <w:r>
        <w:rPr>
          <w:rFonts w:hint="eastAsia"/>
          <w:color w:val="000000"/>
          <w:highlight w:val="none"/>
        </w:rPr>
        <w:t>若被检产品明示的质量要求缺少本细则中检验项目依据的推荐性标准要求时，该项目不参与判定。</w:t>
      </w:r>
    </w:p>
    <w:p>
      <w:pPr>
        <w:spacing w:line="400" w:lineRule="exact"/>
        <w:rPr>
          <w:rFonts w:hint="eastAsia" w:ascii="黑体" w:hAnsi="黑体" w:eastAsia="黑体" w:cs="黑体"/>
          <w:b w:val="0"/>
          <w:bCs/>
          <w:lang w:val="en-US" w:eastAsia="zh-CN"/>
        </w:rPr>
      </w:pPr>
      <w:r>
        <w:rPr>
          <w:rFonts w:hint="eastAsia" w:ascii="黑体" w:hAnsi="黑体" w:eastAsia="黑体" w:cs="黑体"/>
          <w:b w:val="0"/>
          <w:bCs/>
          <w:lang w:val="en-US" w:eastAsia="zh-CN"/>
        </w:rPr>
        <w:t>4  附则</w:t>
      </w:r>
    </w:p>
    <w:p>
      <w:pPr>
        <w:snapToGrid w:val="0"/>
        <w:spacing w:line="440" w:lineRule="exact"/>
        <w:ind w:firstLine="420"/>
        <w:rPr>
          <w:color w:val="FF0000"/>
          <w:szCs w:val="21"/>
        </w:rPr>
      </w:pPr>
      <w:r>
        <w:rPr>
          <w:rFonts w:hint="eastAsia" w:ascii="宋体" w:hAnsi="宋体"/>
          <w:highlight w:val="none"/>
        </w:rPr>
        <w:t>本细则由</w:t>
      </w:r>
      <w:r>
        <w:rPr>
          <w:rFonts w:hint="eastAsia" w:ascii="宋体" w:hAnsi="宋体"/>
          <w:highlight w:val="none"/>
          <w:lang w:eastAsia="zh-CN"/>
        </w:rPr>
        <w:t>安徽省</w:t>
      </w:r>
      <w:r>
        <w:rPr>
          <w:rFonts w:hint="eastAsia" w:ascii="宋体" w:hAnsi="宋体"/>
          <w:highlight w:val="none"/>
        </w:rPr>
        <w:t>产品质量监督检验研究院编制，</w:t>
      </w:r>
      <w:r>
        <w:rPr>
          <w:rFonts w:hint="eastAsia" w:ascii="宋体" w:hAnsi="宋体"/>
          <w:highlight w:val="none"/>
          <w:lang w:val="en-US" w:eastAsia="zh-CN"/>
        </w:rPr>
        <w:t>六安</w:t>
      </w:r>
      <w:r>
        <w:rPr>
          <w:rFonts w:hint="eastAsia" w:ascii="宋体" w:hAnsi="宋体"/>
          <w:highlight w:val="none"/>
          <w:lang w:eastAsia="zh-CN"/>
        </w:rPr>
        <w:t>市</w:t>
      </w:r>
      <w:r>
        <w:rPr>
          <w:rFonts w:hint="eastAsia" w:ascii="宋体" w:hAnsi="宋体"/>
          <w:highlight w:val="none"/>
        </w:rPr>
        <w:t>市场监督管理局管理。</w:t>
      </w: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914BAE8-19AE-43FD-B79B-5221CA4E0D0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embedRegular r:id="rId2" w:fontKey="{39327CC8-94C7-4677-B0B7-61E656B9F01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documentProtection w:enforcement="0"/>
  <w:defaultTabStop w:val="420"/>
  <w:drawingGridHorizontalSpacing w:val="105"/>
  <w:drawingGridVerticalSpacing w:val="319"/>
  <w:displayHorizontalDrawingGridEvery w:val="2"/>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NhM2FiZGRkZTAxZTE1OGZiZWUxZDc0ZTg1YWViZjUifQ=="/>
  </w:docVars>
  <w:rsids>
    <w:rsidRoot w:val="00172A27"/>
    <w:rsid w:val="00001D7E"/>
    <w:rsid w:val="00012EEB"/>
    <w:rsid w:val="00020F69"/>
    <w:rsid w:val="00051A44"/>
    <w:rsid w:val="00052092"/>
    <w:rsid w:val="000770C5"/>
    <w:rsid w:val="00081CBD"/>
    <w:rsid w:val="000976DE"/>
    <w:rsid w:val="000A0EAF"/>
    <w:rsid w:val="000B1153"/>
    <w:rsid w:val="000C27EF"/>
    <w:rsid w:val="000D2425"/>
    <w:rsid w:val="000D7014"/>
    <w:rsid w:val="000F2B3C"/>
    <w:rsid w:val="001057CD"/>
    <w:rsid w:val="00121E4C"/>
    <w:rsid w:val="00172A27"/>
    <w:rsid w:val="001809DD"/>
    <w:rsid w:val="001A51E1"/>
    <w:rsid w:val="0021621A"/>
    <w:rsid w:val="00235DC4"/>
    <w:rsid w:val="00247E11"/>
    <w:rsid w:val="002501F8"/>
    <w:rsid w:val="00253624"/>
    <w:rsid w:val="002627EB"/>
    <w:rsid w:val="00275517"/>
    <w:rsid w:val="002777E2"/>
    <w:rsid w:val="002A25C4"/>
    <w:rsid w:val="002A4579"/>
    <w:rsid w:val="002B2F08"/>
    <w:rsid w:val="002D7F8A"/>
    <w:rsid w:val="002E0491"/>
    <w:rsid w:val="002E0D1D"/>
    <w:rsid w:val="002E3205"/>
    <w:rsid w:val="002F19D6"/>
    <w:rsid w:val="003203A3"/>
    <w:rsid w:val="0034368C"/>
    <w:rsid w:val="00393462"/>
    <w:rsid w:val="003B65A7"/>
    <w:rsid w:val="003C388C"/>
    <w:rsid w:val="003D6DF1"/>
    <w:rsid w:val="003E011E"/>
    <w:rsid w:val="003E61BF"/>
    <w:rsid w:val="00425707"/>
    <w:rsid w:val="00445E86"/>
    <w:rsid w:val="00467E74"/>
    <w:rsid w:val="00474E04"/>
    <w:rsid w:val="0048240E"/>
    <w:rsid w:val="00483AC6"/>
    <w:rsid w:val="004962E3"/>
    <w:rsid w:val="004A0936"/>
    <w:rsid w:val="004D0C5A"/>
    <w:rsid w:val="004E1396"/>
    <w:rsid w:val="004E7C02"/>
    <w:rsid w:val="00512825"/>
    <w:rsid w:val="00563EBC"/>
    <w:rsid w:val="00585975"/>
    <w:rsid w:val="0059238A"/>
    <w:rsid w:val="005B64D3"/>
    <w:rsid w:val="005F4CC6"/>
    <w:rsid w:val="00666E54"/>
    <w:rsid w:val="006B79A8"/>
    <w:rsid w:val="006F0971"/>
    <w:rsid w:val="0072334C"/>
    <w:rsid w:val="00736DEA"/>
    <w:rsid w:val="00755136"/>
    <w:rsid w:val="007928F3"/>
    <w:rsid w:val="00792B8D"/>
    <w:rsid w:val="00795BB2"/>
    <w:rsid w:val="007A0E9A"/>
    <w:rsid w:val="008139C8"/>
    <w:rsid w:val="00871617"/>
    <w:rsid w:val="00895BEA"/>
    <w:rsid w:val="008A3497"/>
    <w:rsid w:val="008B1BD3"/>
    <w:rsid w:val="00905FE0"/>
    <w:rsid w:val="00917A54"/>
    <w:rsid w:val="009249EF"/>
    <w:rsid w:val="00926C29"/>
    <w:rsid w:val="00930572"/>
    <w:rsid w:val="00971327"/>
    <w:rsid w:val="00981F1F"/>
    <w:rsid w:val="009865FB"/>
    <w:rsid w:val="009B320B"/>
    <w:rsid w:val="009D5E02"/>
    <w:rsid w:val="009E01DE"/>
    <w:rsid w:val="009E4DB8"/>
    <w:rsid w:val="009F7375"/>
    <w:rsid w:val="00A07E66"/>
    <w:rsid w:val="00A43553"/>
    <w:rsid w:val="00A62E74"/>
    <w:rsid w:val="00A760C9"/>
    <w:rsid w:val="00A902CC"/>
    <w:rsid w:val="00AD5A48"/>
    <w:rsid w:val="00AF24AF"/>
    <w:rsid w:val="00B90157"/>
    <w:rsid w:val="00BE7AE2"/>
    <w:rsid w:val="00BF5D64"/>
    <w:rsid w:val="00C26074"/>
    <w:rsid w:val="00C40662"/>
    <w:rsid w:val="00C44CD6"/>
    <w:rsid w:val="00C53B78"/>
    <w:rsid w:val="00C83B0A"/>
    <w:rsid w:val="00C924E8"/>
    <w:rsid w:val="00CB2A9E"/>
    <w:rsid w:val="00CB331F"/>
    <w:rsid w:val="00CC137A"/>
    <w:rsid w:val="00CC25C2"/>
    <w:rsid w:val="00CE1E0C"/>
    <w:rsid w:val="00CE277E"/>
    <w:rsid w:val="00D15F4A"/>
    <w:rsid w:val="00D206CD"/>
    <w:rsid w:val="00D50D7D"/>
    <w:rsid w:val="00D56867"/>
    <w:rsid w:val="00DE2075"/>
    <w:rsid w:val="00E02A7F"/>
    <w:rsid w:val="00E07880"/>
    <w:rsid w:val="00E21E57"/>
    <w:rsid w:val="00E320D8"/>
    <w:rsid w:val="00E53438"/>
    <w:rsid w:val="00E82621"/>
    <w:rsid w:val="00ED4450"/>
    <w:rsid w:val="00ED5419"/>
    <w:rsid w:val="00EF4FA1"/>
    <w:rsid w:val="00F27CB1"/>
    <w:rsid w:val="00F332B6"/>
    <w:rsid w:val="00F77C9A"/>
    <w:rsid w:val="00F86832"/>
    <w:rsid w:val="00FB4FC2"/>
    <w:rsid w:val="00FB576C"/>
    <w:rsid w:val="00FD1A9C"/>
    <w:rsid w:val="00FD2AA6"/>
    <w:rsid w:val="00FE7E8A"/>
    <w:rsid w:val="00FF5DCC"/>
    <w:rsid w:val="03F22678"/>
    <w:rsid w:val="0400181C"/>
    <w:rsid w:val="04354274"/>
    <w:rsid w:val="06014802"/>
    <w:rsid w:val="06CC51B2"/>
    <w:rsid w:val="09234C9E"/>
    <w:rsid w:val="0BE546D9"/>
    <w:rsid w:val="0BF3562B"/>
    <w:rsid w:val="0C5C70D2"/>
    <w:rsid w:val="10306B1E"/>
    <w:rsid w:val="11473DDB"/>
    <w:rsid w:val="117635B2"/>
    <w:rsid w:val="12BF484E"/>
    <w:rsid w:val="13F029C1"/>
    <w:rsid w:val="17F84F4F"/>
    <w:rsid w:val="1832236F"/>
    <w:rsid w:val="19216AC6"/>
    <w:rsid w:val="1A784B4A"/>
    <w:rsid w:val="1B514B8A"/>
    <w:rsid w:val="1B8C0F1C"/>
    <w:rsid w:val="1B9113EA"/>
    <w:rsid w:val="216F58DF"/>
    <w:rsid w:val="21805301"/>
    <w:rsid w:val="22096B18"/>
    <w:rsid w:val="247E276B"/>
    <w:rsid w:val="25963812"/>
    <w:rsid w:val="2C156FDF"/>
    <w:rsid w:val="383C7DCF"/>
    <w:rsid w:val="40C341BB"/>
    <w:rsid w:val="41103F67"/>
    <w:rsid w:val="448A4681"/>
    <w:rsid w:val="468247BC"/>
    <w:rsid w:val="4A8536D2"/>
    <w:rsid w:val="4C4C1669"/>
    <w:rsid w:val="4C693891"/>
    <w:rsid w:val="575527A0"/>
    <w:rsid w:val="57C100EB"/>
    <w:rsid w:val="5C107557"/>
    <w:rsid w:val="5F183075"/>
    <w:rsid w:val="60DA6040"/>
    <w:rsid w:val="62747816"/>
    <w:rsid w:val="6316159D"/>
    <w:rsid w:val="636B2161"/>
    <w:rsid w:val="69AF3970"/>
    <w:rsid w:val="6B1000B4"/>
    <w:rsid w:val="71E216E7"/>
    <w:rsid w:val="74021D42"/>
    <w:rsid w:val="74654051"/>
    <w:rsid w:val="76F7794F"/>
    <w:rsid w:val="786D349E"/>
    <w:rsid w:val="7BD44AB5"/>
    <w:rsid w:val="7BEF7469"/>
    <w:rsid w:val="7E56020E"/>
    <w:rsid w:val="7E57568F"/>
    <w:rsid w:val="7E602EE5"/>
    <w:rsid w:val="7EDA75CB"/>
    <w:rsid w:val="7EDB396C"/>
    <w:rsid w:val="7F2B5E31"/>
    <w:rsid w:val="7F67241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alloon Text"/>
    <w:basedOn w:val="1"/>
    <w:link w:val="12"/>
    <w:autoRedefine/>
    <w:semiHidden/>
    <w:unhideWhenUsed/>
    <w:qFormat/>
    <w:uiPriority w:val="99"/>
    <w:rPr>
      <w:sz w:val="18"/>
      <w:szCs w:val="18"/>
    </w:rPr>
  </w:style>
  <w:style w:type="paragraph" w:styleId="4">
    <w:name w:val="footer"/>
    <w:basedOn w:val="1"/>
    <w:link w:val="9"/>
    <w:autoRedefine/>
    <w:unhideWhenUsed/>
    <w:qFormat/>
    <w:uiPriority w:val="99"/>
    <w:pPr>
      <w:tabs>
        <w:tab w:val="center" w:pos="4153"/>
        <w:tab w:val="right" w:pos="8306"/>
      </w:tabs>
      <w:snapToGrid w:val="0"/>
      <w:jc w:val="left"/>
    </w:pPr>
    <w:rPr>
      <w:sz w:val="18"/>
      <w:szCs w:val="18"/>
    </w:rPr>
  </w:style>
  <w:style w:type="paragraph" w:styleId="5">
    <w:name w:val="header"/>
    <w:basedOn w:val="1"/>
    <w:link w:val="10"/>
    <w:autoRedefine/>
    <w:unhideWhenUsed/>
    <w:qFormat/>
    <w:uiPriority w:val="0"/>
    <w:pPr>
      <w:pBdr>
        <w:bottom w:val="single" w:color="auto" w:sz="6" w:space="1"/>
      </w:pBdr>
      <w:tabs>
        <w:tab w:val="center" w:pos="4153"/>
        <w:tab w:val="right" w:pos="8306"/>
      </w:tabs>
      <w:snapToGrid w:val="0"/>
      <w:jc w:val="center"/>
    </w:pPr>
    <w:rPr>
      <w:sz w:val="18"/>
      <w:szCs w:val="18"/>
    </w:rPr>
  </w:style>
  <w:style w:type="character" w:styleId="8">
    <w:name w:val="page number"/>
    <w:basedOn w:val="7"/>
    <w:autoRedefine/>
    <w:qFormat/>
    <w:uiPriority w:val="0"/>
  </w:style>
  <w:style w:type="character" w:customStyle="1" w:styleId="9">
    <w:name w:val="页脚 Char"/>
    <w:basedOn w:val="7"/>
    <w:link w:val="4"/>
    <w:autoRedefine/>
    <w:qFormat/>
    <w:uiPriority w:val="99"/>
    <w:rPr>
      <w:kern w:val="2"/>
      <w:sz w:val="18"/>
      <w:szCs w:val="18"/>
    </w:rPr>
  </w:style>
  <w:style w:type="character" w:customStyle="1" w:styleId="10">
    <w:name w:val="页眉 Char"/>
    <w:basedOn w:val="7"/>
    <w:link w:val="5"/>
    <w:autoRedefine/>
    <w:semiHidden/>
    <w:qFormat/>
    <w:uiPriority w:val="99"/>
    <w:rPr>
      <w:kern w:val="2"/>
      <w:sz w:val="18"/>
      <w:szCs w:val="18"/>
    </w:rPr>
  </w:style>
  <w:style w:type="paragraph" w:customStyle="1" w:styleId="11">
    <w:name w:val="列出段落1"/>
    <w:basedOn w:val="1"/>
    <w:autoRedefine/>
    <w:qFormat/>
    <w:uiPriority w:val="34"/>
    <w:pPr>
      <w:ind w:firstLine="420" w:firstLineChars="200"/>
    </w:pPr>
    <w:rPr>
      <w:rFonts w:ascii="Calibri" w:hAnsi="Calibri"/>
      <w:szCs w:val="22"/>
    </w:rPr>
  </w:style>
  <w:style w:type="character" w:customStyle="1" w:styleId="12">
    <w:name w:val="批注框文本 Char"/>
    <w:basedOn w:val="7"/>
    <w:link w:val="3"/>
    <w:autoRedefine/>
    <w:semiHidden/>
    <w:qFormat/>
    <w:uiPriority w:val="99"/>
    <w:rPr>
      <w:kern w:val="2"/>
      <w:sz w:val="18"/>
      <w:szCs w:val="18"/>
    </w:rPr>
  </w:style>
  <w:style w:type="paragraph" w:styleId="13">
    <w:name w:val="List Paragraph"/>
    <w:basedOn w:val="1"/>
    <w:autoRedefine/>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685</Words>
  <Characters>167</Characters>
  <Lines>1</Lines>
  <Paragraphs>1</Paragraphs>
  <TotalTime>3</TotalTime>
  <ScaleCrop>false</ScaleCrop>
  <LinksUpToDate>false</LinksUpToDate>
  <CharactersWithSpaces>851</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2019-12-31T08:57:00Z</dcterms:created>
  <dc:creator>Legend User</dc:creator>
  <cp:lastModifiedBy>刘振</cp:lastModifiedBy>
  <cp:lastPrinted>2022-02-24T00:43:00Z</cp:lastPrinted>
  <dcterms:modified xsi:type="dcterms:W3CDTF">2026-04-16T07:46:05Z</dcterms:modified>
  <dc:title>××产品质量监督抽查实施细则</dc:title>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C26967224E674F57A6B454BD1A5C4D48</vt:lpwstr>
  </property>
</Properties>
</file>