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hint="eastAsia" w:ascii="黑体" w:hAnsi="宋体" w:eastAsia="黑体" w:cs="黑体"/>
          <w:color w:val="000000" w:themeColor="text1"/>
          <w:sz w:val="32"/>
          <w:szCs w:val="32"/>
          <w14:textFill>
            <w14:solidFill>
              <w14:schemeClr w14:val="tx1"/>
            </w14:solidFill>
          </w14:textFill>
        </w:rPr>
      </w:pPr>
      <w:r>
        <w:rPr>
          <w:rFonts w:hint="eastAsia" w:ascii="黑体" w:hAnsi="宋体" w:eastAsia="黑体" w:cs="黑体"/>
          <w:color w:val="000000" w:themeColor="text1"/>
          <w:sz w:val="32"/>
          <w:szCs w:val="32"/>
          <w:lang w:val="en-US" w:eastAsia="zh-CN"/>
          <w14:textFill>
            <w14:solidFill>
              <w14:schemeClr w14:val="tx1"/>
            </w14:solidFill>
          </w14:textFill>
        </w:rPr>
        <w:t>2026年六安市瓶装液化石油气</w:t>
      </w:r>
      <w:bookmarkStart w:id="1" w:name="_GoBack"/>
      <w:bookmarkEnd w:id="1"/>
      <w:r>
        <w:rPr>
          <w:rFonts w:hint="eastAsia" w:ascii="黑体" w:hAnsi="宋体" w:eastAsia="黑体" w:cs="黑体"/>
          <w:color w:val="000000" w:themeColor="text1"/>
          <w:sz w:val="32"/>
          <w:szCs w:val="32"/>
          <w:lang w:eastAsia="zh-CN"/>
          <w14:textFill>
            <w14:solidFill>
              <w14:schemeClr w14:val="tx1"/>
            </w14:solidFill>
          </w14:textFill>
        </w:rPr>
        <w:t>调压器产品</w:t>
      </w:r>
      <w:r>
        <w:rPr>
          <w:rFonts w:hint="eastAsia" w:ascii="黑体" w:hAnsi="宋体" w:eastAsia="黑体" w:cs="黑体"/>
          <w:color w:val="000000" w:themeColor="text1"/>
          <w:sz w:val="32"/>
          <w:szCs w:val="32"/>
          <w14:textFill>
            <w14:solidFill>
              <w14:schemeClr w14:val="tx1"/>
            </w14:solidFill>
          </w14:textFill>
        </w:rPr>
        <w:t>质量监督抽查实施细则</w:t>
      </w:r>
    </w:p>
    <w:p>
      <w:pPr>
        <w:spacing w:line="440" w:lineRule="exact"/>
        <w:jc w:val="center"/>
        <w:rPr>
          <w:rFonts w:hint="eastAsia" w:ascii="黑体" w:hAnsi="宋体" w:eastAsia="黑体" w:cs="黑体"/>
          <w:color w:val="000000" w:themeColor="text1"/>
          <w:sz w:val="32"/>
          <w:szCs w:val="32"/>
          <w14:textFill>
            <w14:solidFill>
              <w14:schemeClr w14:val="tx1"/>
            </w14:solidFill>
          </w14:textFill>
        </w:rPr>
      </w:pPr>
    </w:p>
    <w:p>
      <w:pPr>
        <w:snapToGrid w:val="0"/>
        <w:spacing w:line="440" w:lineRule="exact"/>
        <w:rPr>
          <w:rFonts w:hint="eastAsia" w:ascii="黑体" w:hAnsi="宋体" w:eastAsia="黑体"/>
          <w:b w:val="0"/>
          <w:bCs w:val="0"/>
          <w:color w:val="000000"/>
          <w:szCs w:val="21"/>
        </w:rPr>
      </w:pPr>
      <w:r>
        <w:rPr>
          <w:rFonts w:hint="eastAsia" w:ascii="黑体" w:hAnsi="宋体" w:eastAsia="黑体"/>
          <w:b w:val="0"/>
          <w:bCs w:val="0"/>
          <w:color w:val="000000"/>
          <w:szCs w:val="21"/>
        </w:rPr>
        <w:t>1 抽样方法</w:t>
      </w:r>
    </w:p>
    <w:p>
      <w:pPr>
        <w:adjustRightInd w:val="0"/>
        <w:snapToGrid w:val="0"/>
        <w:spacing w:line="440" w:lineRule="exact"/>
        <w:ind w:firstLine="420" w:firstLineChars="200"/>
        <w:rPr>
          <w:color w:val="000000"/>
          <w:highlight w:val="none"/>
        </w:rPr>
      </w:pPr>
      <w:r>
        <w:rPr>
          <w:rFonts w:hint="eastAsia"/>
          <w:color w:val="000000"/>
          <w:highlight w:val="none"/>
        </w:rPr>
        <w:t>以随机抽样的方式在被抽样生产者、销售者的待销产品中抽取。</w:t>
      </w:r>
    </w:p>
    <w:p>
      <w:pPr>
        <w:adjustRightInd w:val="0"/>
        <w:snapToGrid w:val="0"/>
        <w:spacing w:line="440" w:lineRule="exact"/>
        <w:ind w:firstLine="420" w:firstLineChars="200"/>
        <w:rPr>
          <w:color w:val="000000"/>
          <w:highlight w:val="none"/>
        </w:rPr>
      </w:pPr>
      <w:r>
        <w:rPr>
          <w:rFonts w:hint="eastAsia"/>
          <w:color w:val="000000"/>
          <w:highlight w:val="none"/>
        </w:rPr>
        <w:t>随机数一般可使用随机数表等方法产生。</w:t>
      </w:r>
    </w:p>
    <w:p>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每批次产品抽取样品</w:t>
      </w:r>
      <w:r>
        <w:rPr>
          <w:rFonts w:hint="eastAsia" w:ascii="宋体" w:hAnsi="宋体"/>
          <w:color w:val="000000"/>
          <w:szCs w:val="21"/>
          <w:lang w:val="en-US" w:eastAsia="zh-CN"/>
        </w:rPr>
        <w:t>3只</w:t>
      </w:r>
      <w:r>
        <w:rPr>
          <w:rFonts w:hint="eastAsia" w:ascii="宋体" w:hAnsi="宋体"/>
          <w:color w:val="000000"/>
          <w:szCs w:val="21"/>
        </w:rPr>
        <w:t>，</w:t>
      </w:r>
      <w:r>
        <w:rPr>
          <w:rFonts w:hint="eastAsia" w:ascii="宋体" w:hAnsi="宋体"/>
          <w:color w:val="000000"/>
          <w:szCs w:val="21"/>
          <w:lang w:val="en-US" w:eastAsia="zh-CN"/>
        </w:rPr>
        <w:t>2只</w:t>
      </w:r>
      <w:r>
        <w:rPr>
          <w:rFonts w:hint="eastAsia" w:ascii="宋体" w:hAnsi="宋体"/>
          <w:color w:val="000000"/>
          <w:szCs w:val="21"/>
        </w:rPr>
        <w:t>作为检验样品</w:t>
      </w:r>
      <w:r>
        <w:rPr>
          <w:rFonts w:hint="eastAsia" w:ascii="宋体" w:hAnsi="宋体"/>
          <w:color w:val="000000"/>
          <w:szCs w:val="21"/>
          <w:lang w:eastAsia="zh-CN"/>
        </w:rPr>
        <w:t>，</w:t>
      </w:r>
      <w:r>
        <w:rPr>
          <w:rFonts w:hint="eastAsia" w:ascii="宋体" w:hAnsi="宋体"/>
          <w:color w:val="000000"/>
          <w:szCs w:val="21"/>
          <w:lang w:val="en-US" w:eastAsia="zh-CN"/>
        </w:rPr>
        <w:t>1只为备样</w:t>
      </w:r>
      <w:r>
        <w:rPr>
          <w:rFonts w:hint="eastAsia" w:ascii="宋体" w:hAnsi="宋体"/>
          <w:color w:val="000000"/>
          <w:szCs w:val="21"/>
        </w:rPr>
        <w:t>。</w:t>
      </w:r>
    </w:p>
    <w:p>
      <w:pPr>
        <w:adjustRightInd w:val="0"/>
        <w:snapToGrid w:val="0"/>
        <w:spacing w:line="440" w:lineRule="exact"/>
        <w:ind w:firstLine="420" w:firstLineChars="200"/>
        <w:rPr>
          <w:rFonts w:hint="eastAsia"/>
          <w:color w:val="000000"/>
          <w:highlight w:val="none"/>
        </w:rPr>
      </w:pPr>
    </w:p>
    <w:p>
      <w:pPr>
        <w:snapToGrid w:val="0"/>
        <w:spacing w:line="440" w:lineRule="exact"/>
        <w:rPr>
          <w:rFonts w:hint="eastAsia" w:ascii="黑体" w:hAnsi="宋体" w:eastAsia="黑体"/>
          <w:b w:val="0"/>
          <w:bCs w:val="0"/>
          <w:color w:val="000000"/>
          <w:szCs w:val="21"/>
        </w:rPr>
      </w:pPr>
      <w:r>
        <w:rPr>
          <w:rFonts w:hint="eastAsia" w:ascii="黑体" w:hAnsi="宋体" w:eastAsia="黑体"/>
          <w:b w:val="0"/>
          <w:bCs w:val="0"/>
          <w:color w:val="000000"/>
          <w:szCs w:val="21"/>
        </w:rPr>
        <w:t>2 检验依据</w:t>
      </w:r>
    </w:p>
    <w:p>
      <w:pPr>
        <w:snapToGrid w:val="0"/>
        <w:spacing w:line="440" w:lineRule="exact"/>
        <w:ind w:firstLine="420" w:firstLineChars="200"/>
        <w:jc w:val="center"/>
        <w:rPr>
          <w:rFonts w:hint="eastAsia" w:ascii="宋体" w:hAnsi="宋体" w:eastAsia="宋体"/>
          <w:color w:val="000000"/>
          <w:szCs w:val="21"/>
          <w:lang w:eastAsia="zh-CN"/>
        </w:rPr>
      </w:pPr>
      <w:r>
        <w:rPr>
          <w:rFonts w:hint="eastAsia" w:ascii="宋体" w:hAnsi="宋体"/>
          <w:color w:val="000000"/>
          <w:szCs w:val="21"/>
        </w:rPr>
        <w:t>表1</w:t>
      </w:r>
      <w:r>
        <w:rPr>
          <w:rFonts w:hint="eastAsia" w:ascii="宋体" w:hAnsi="宋体"/>
          <w:color w:val="000000"/>
          <w:szCs w:val="21"/>
          <w:lang w:val="en-US" w:eastAsia="zh-CN"/>
        </w:rPr>
        <w:t xml:space="preserve"> </w:t>
      </w:r>
      <w:r>
        <w:rPr>
          <w:rFonts w:hint="eastAsia" w:ascii="宋体" w:hAnsi="宋体" w:eastAsia="宋体" w:cs="宋体"/>
        </w:rPr>
        <w:t>检验项目及检验方法</w:t>
      </w:r>
    </w:p>
    <w:tbl>
      <w:tblPr>
        <w:tblStyle w:val="12"/>
        <w:tblW w:w="728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5"/>
        <w:gridCol w:w="3709"/>
        <w:gridCol w:w="249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20" w:hRule="atLeast"/>
          <w:tblHeader/>
          <w:jc w:val="center"/>
        </w:trPr>
        <w:tc>
          <w:tcPr>
            <w:tcW w:w="1085" w:type="dxa"/>
            <w:vMerge w:val="restart"/>
            <w:noWrap w:val="0"/>
            <w:vAlign w:val="center"/>
          </w:tcPr>
          <w:p>
            <w:pPr>
              <w:snapToGrid w:val="0"/>
              <w:spacing w:line="320" w:lineRule="exact"/>
              <w:jc w:val="center"/>
              <w:rPr>
                <w:rFonts w:hint="eastAsia" w:ascii="宋体" w:hAnsi="宋体"/>
                <w:color w:val="000000"/>
                <w:sz w:val="21"/>
                <w:szCs w:val="21"/>
              </w:rPr>
            </w:pPr>
            <w:r>
              <w:rPr>
                <w:rFonts w:hint="eastAsia" w:ascii="宋体" w:hAnsi="宋体"/>
                <w:color w:val="000000"/>
                <w:sz w:val="21"/>
                <w:szCs w:val="21"/>
              </w:rPr>
              <w:t>序号</w:t>
            </w:r>
          </w:p>
        </w:tc>
        <w:tc>
          <w:tcPr>
            <w:tcW w:w="3709" w:type="dxa"/>
            <w:vMerge w:val="restart"/>
            <w:noWrap w:val="0"/>
            <w:vAlign w:val="center"/>
          </w:tcPr>
          <w:p>
            <w:pPr>
              <w:snapToGrid w:val="0"/>
              <w:spacing w:line="320" w:lineRule="exact"/>
              <w:jc w:val="center"/>
              <w:rPr>
                <w:rFonts w:hint="eastAsia" w:ascii="宋体" w:hAnsi="宋体"/>
                <w:color w:val="000000"/>
                <w:sz w:val="21"/>
                <w:szCs w:val="21"/>
              </w:rPr>
            </w:pPr>
            <w:r>
              <w:rPr>
                <w:rFonts w:hint="eastAsia" w:ascii="宋体" w:hAnsi="宋体"/>
                <w:color w:val="000000"/>
                <w:sz w:val="21"/>
                <w:szCs w:val="21"/>
              </w:rPr>
              <w:t>检验项目</w:t>
            </w:r>
          </w:p>
        </w:tc>
        <w:tc>
          <w:tcPr>
            <w:tcW w:w="2490" w:type="dxa"/>
            <w:vMerge w:val="restart"/>
            <w:noWrap w:val="0"/>
            <w:vAlign w:val="center"/>
          </w:tcPr>
          <w:p>
            <w:pPr>
              <w:snapToGrid w:val="0"/>
              <w:spacing w:line="320" w:lineRule="exact"/>
              <w:jc w:val="center"/>
              <w:rPr>
                <w:rFonts w:hint="eastAsia" w:ascii="宋体" w:hAnsi="宋体"/>
                <w:color w:val="000000"/>
                <w:sz w:val="21"/>
                <w:szCs w:val="21"/>
              </w:rPr>
            </w:pPr>
            <w:r>
              <w:rPr>
                <w:rFonts w:hint="eastAsia" w:ascii="宋体" w:hAnsi="宋体"/>
                <w:color w:val="000000"/>
                <w:sz w:val="21"/>
                <w:szCs w:val="21"/>
              </w:rPr>
              <w:t>检验方法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20" w:hRule="atLeast"/>
          <w:tblHeader/>
          <w:jc w:val="center"/>
        </w:trPr>
        <w:tc>
          <w:tcPr>
            <w:tcW w:w="1085" w:type="dxa"/>
            <w:vMerge w:val="continue"/>
            <w:noWrap w:val="0"/>
            <w:vAlign w:val="center"/>
          </w:tcPr>
          <w:p>
            <w:pPr>
              <w:snapToGrid w:val="0"/>
              <w:spacing w:line="320" w:lineRule="exact"/>
              <w:jc w:val="center"/>
              <w:rPr>
                <w:rFonts w:hint="eastAsia" w:ascii="宋体" w:hAnsi="宋体"/>
                <w:color w:val="000000"/>
                <w:sz w:val="21"/>
                <w:szCs w:val="21"/>
              </w:rPr>
            </w:pPr>
          </w:p>
        </w:tc>
        <w:tc>
          <w:tcPr>
            <w:tcW w:w="3709" w:type="dxa"/>
            <w:vMerge w:val="continue"/>
            <w:noWrap w:val="0"/>
            <w:vAlign w:val="center"/>
          </w:tcPr>
          <w:p>
            <w:pPr>
              <w:snapToGrid w:val="0"/>
              <w:spacing w:line="320" w:lineRule="exact"/>
              <w:jc w:val="center"/>
              <w:rPr>
                <w:rFonts w:hint="eastAsia" w:ascii="宋体" w:hAnsi="宋体"/>
                <w:color w:val="000000"/>
                <w:sz w:val="21"/>
                <w:szCs w:val="21"/>
              </w:rPr>
            </w:pPr>
          </w:p>
        </w:tc>
        <w:tc>
          <w:tcPr>
            <w:tcW w:w="2490" w:type="dxa"/>
            <w:vMerge w:val="continue"/>
            <w:noWrap w:val="0"/>
            <w:vAlign w:val="center"/>
          </w:tcPr>
          <w:p>
            <w:pPr>
              <w:snapToGrid w:val="0"/>
              <w:spacing w:line="320" w:lineRule="exact"/>
              <w:jc w:val="center"/>
              <w:rPr>
                <w:rFonts w:hint="eastAsia" w:ascii="宋体" w:hAnsi="宋体"/>
                <w:color w:val="000000"/>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85" w:type="dxa"/>
            <w:noWrap w:val="0"/>
            <w:vAlign w:val="center"/>
          </w:tcPr>
          <w:p>
            <w:pPr>
              <w:spacing w:line="360" w:lineRule="auto"/>
              <w:jc w:val="center"/>
              <w:rPr>
                <w:rFonts w:hint="eastAsia" w:ascii="宋体" w:hAnsi="宋体"/>
                <w:color w:val="000000"/>
                <w:sz w:val="21"/>
                <w:szCs w:val="21"/>
              </w:rPr>
            </w:pPr>
            <w:r>
              <w:rPr>
                <w:rFonts w:hint="eastAsia" w:ascii="宋体" w:hAnsi="宋体"/>
                <w:color w:val="000000"/>
                <w:sz w:val="21"/>
                <w:szCs w:val="21"/>
              </w:rPr>
              <w:t>1</w:t>
            </w:r>
          </w:p>
        </w:tc>
        <w:tc>
          <w:tcPr>
            <w:tcW w:w="3709" w:type="dxa"/>
            <w:shd w:val="clear" w:color="auto" w:fill="auto"/>
            <w:noWrap w:val="0"/>
            <w:vAlign w:val="center"/>
          </w:tcPr>
          <w:p>
            <w:pPr>
              <w:spacing w:line="360" w:lineRule="auto"/>
              <w:jc w:val="center"/>
              <w:rPr>
                <w:rFonts w:hint="eastAsia" w:ascii="宋体" w:hAnsi="宋体" w:eastAsia="宋体" w:cs="Times New Roman"/>
                <w:color w:val="000000"/>
                <w:kern w:val="2"/>
                <w:sz w:val="21"/>
                <w:szCs w:val="21"/>
                <w:lang w:val="en-US" w:eastAsia="zh-CN" w:bidi="ar-SA"/>
              </w:rPr>
            </w:pPr>
            <w:r>
              <w:rPr>
                <w:rFonts w:hint="eastAsia" w:ascii="宋体" w:hAnsi="宋体"/>
                <w:color w:val="000000"/>
                <w:sz w:val="21"/>
                <w:szCs w:val="21"/>
              </w:rPr>
              <w:t>调压器气密性</w:t>
            </w:r>
          </w:p>
        </w:tc>
        <w:tc>
          <w:tcPr>
            <w:tcW w:w="2490" w:type="dxa"/>
            <w:shd w:val="clear" w:color="auto" w:fill="auto"/>
            <w:noWrap w:val="0"/>
            <w:vAlign w:val="top"/>
          </w:tcPr>
          <w:p>
            <w:pPr>
              <w:spacing w:line="360" w:lineRule="auto"/>
              <w:jc w:val="center"/>
              <w:rPr>
                <w:rFonts w:hint="default" w:ascii="宋体" w:hAnsi="宋体" w:eastAsia="宋体" w:cs="Times New Roman"/>
                <w:color w:val="000000"/>
                <w:kern w:val="2"/>
                <w:sz w:val="21"/>
                <w:szCs w:val="21"/>
                <w:lang w:val="en-US" w:eastAsia="zh-CN" w:bidi="ar-SA"/>
              </w:rPr>
            </w:pPr>
            <w:r>
              <w:rPr>
                <w:rFonts w:hint="eastAsia" w:ascii="宋体" w:hAnsi="宋体"/>
                <w:color w:val="000000"/>
                <w:sz w:val="21"/>
                <w:szCs w:val="21"/>
                <w:lang w:val="en-US" w:eastAsia="zh-CN"/>
              </w:rPr>
              <w:t>GB 35844-2018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85" w:type="dxa"/>
            <w:shd w:val="clear" w:color="auto" w:fill="auto"/>
            <w:noWrap w:val="0"/>
            <w:vAlign w:val="center"/>
          </w:tcPr>
          <w:p>
            <w:pPr>
              <w:spacing w:line="360" w:lineRule="auto"/>
              <w:jc w:val="center"/>
              <w:rPr>
                <w:rFonts w:hint="eastAsia" w:ascii="宋体" w:hAnsi="宋体" w:eastAsia="宋体" w:cs="Times New Roman"/>
                <w:color w:val="000000"/>
                <w:kern w:val="2"/>
                <w:sz w:val="21"/>
                <w:szCs w:val="21"/>
                <w:lang w:val="en-US" w:eastAsia="zh-CN" w:bidi="ar-SA"/>
              </w:rPr>
            </w:pPr>
            <w:r>
              <w:rPr>
                <w:rFonts w:hint="eastAsia" w:ascii="宋体" w:hAnsi="宋体"/>
                <w:color w:val="000000"/>
                <w:sz w:val="21"/>
                <w:szCs w:val="21"/>
              </w:rPr>
              <w:t>2</w:t>
            </w:r>
          </w:p>
        </w:tc>
        <w:tc>
          <w:tcPr>
            <w:tcW w:w="3709" w:type="dxa"/>
            <w:shd w:val="clear" w:color="auto" w:fill="auto"/>
            <w:noWrap w:val="0"/>
            <w:vAlign w:val="center"/>
          </w:tcPr>
          <w:p>
            <w:pPr>
              <w:spacing w:line="360" w:lineRule="auto"/>
              <w:jc w:val="center"/>
              <w:rPr>
                <w:rFonts w:hint="eastAsia" w:ascii="宋体" w:hAnsi="宋体" w:eastAsia="宋体" w:cs="Times New Roman"/>
                <w:color w:val="000000"/>
                <w:kern w:val="2"/>
                <w:sz w:val="21"/>
                <w:szCs w:val="21"/>
                <w:lang w:val="en-US" w:eastAsia="zh-CN" w:bidi="ar-SA"/>
              </w:rPr>
            </w:pPr>
            <w:r>
              <w:rPr>
                <w:rFonts w:hint="eastAsia" w:ascii="宋体" w:hAnsi="宋体"/>
                <w:color w:val="000000"/>
                <w:sz w:val="21"/>
                <w:szCs w:val="21"/>
              </w:rPr>
              <w:t>手动关闭机构气密性</w:t>
            </w:r>
          </w:p>
        </w:tc>
        <w:tc>
          <w:tcPr>
            <w:tcW w:w="2490" w:type="dxa"/>
            <w:shd w:val="clear" w:color="auto" w:fill="auto"/>
            <w:noWrap w:val="0"/>
            <w:vAlign w:val="top"/>
          </w:tcPr>
          <w:p>
            <w:pPr>
              <w:spacing w:line="360" w:lineRule="auto"/>
              <w:jc w:val="center"/>
              <w:rPr>
                <w:rFonts w:hint="eastAsia" w:ascii="宋体" w:hAnsi="宋体" w:eastAsia="宋体" w:cs="Times New Roman"/>
                <w:color w:val="000000"/>
                <w:kern w:val="2"/>
                <w:sz w:val="21"/>
                <w:szCs w:val="21"/>
                <w:lang w:val="en-US" w:eastAsia="zh-CN" w:bidi="ar-SA"/>
              </w:rPr>
            </w:pPr>
            <w:r>
              <w:rPr>
                <w:rFonts w:hint="eastAsia" w:ascii="宋体" w:hAnsi="宋体"/>
                <w:color w:val="000000"/>
                <w:sz w:val="21"/>
                <w:szCs w:val="21"/>
                <w:lang w:val="en-US" w:eastAsia="zh-CN"/>
              </w:rPr>
              <w:t>GB 35844-2018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85" w:type="dxa"/>
            <w:shd w:val="clear" w:color="auto" w:fill="auto"/>
            <w:noWrap w:val="0"/>
            <w:vAlign w:val="center"/>
          </w:tcPr>
          <w:p>
            <w:pPr>
              <w:spacing w:line="360" w:lineRule="auto"/>
              <w:jc w:val="center"/>
              <w:rPr>
                <w:rFonts w:hint="eastAsia" w:ascii="宋体" w:hAnsi="宋体" w:eastAsia="宋体" w:cs="Times New Roman"/>
                <w:color w:val="000000"/>
                <w:kern w:val="2"/>
                <w:sz w:val="21"/>
                <w:szCs w:val="21"/>
                <w:lang w:val="en-US" w:eastAsia="zh-CN" w:bidi="ar-SA"/>
              </w:rPr>
            </w:pPr>
            <w:r>
              <w:rPr>
                <w:rFonts w:hint="eastAsia" w:ascii="宋体" w:hAnsi="宋体"/>
                <w:color w:val="000000"/>
                <w:sz w:val="21"/>
                <w:szCs w:val="21"/>
              </w:rPr>
              <w:t>3</w:t>
            </w:r>
          </w:p>
        </w:tc>
        <w:tc>
          <w:tcPr>
            <w:tcW w:w="3709" w:type="dxa"/>
            <w:shd w:val="clear" w:color="auto" w:fill="auto"/>
            <w:noWrap w:val="0"/>
            <w:vAlign w:val="center"/>
          </w:tcPr>
          <w:p>
            <w:pPr>
              <w:spacing w:line="360" w:lineRule="auto"/>
              <w:jc w:val="center"/>
              <w:rPr>
                <w:rFonts w:hint="eastAsia" w:ascii="宋体" w:hAnsi="宋体" w:eastAsia="宋体" w:cs="Times New Roman"/>
                <w:color w:val="000000"/>
                <w:kern w:val="2"/>
                <w:sz w:val="21"/>
                <w:szCs w:val="21"/>
                <w:lang w:val="en-US" w:eastAsia="zh-CN" w:bidi="ar-SA"/>
              </w:rPr>
            </w:pPr>
            <w:r>
              <w:rPr>
                <w:rFonts w:hint="eastAsia" w:ascii="宋体" w:hAnsi="宋体"/>
                <w:color w:val="000000"/>
                <w:sz w:val="21"/>
                <w:szCs w:val="21"/>
              </w:rPr>
              <w:t>机械强度-耐压性</w:t>
            </w:r>
          </w:p>
        </w:tc>
        <w:tc>
          <w:tcPr>
            <w:tcW w:w="2490" w:type="dxa"/>
            <w:shd w:val="clear" w:color="auto" w:fill="auto"/>
            <w:noWrap w:val="0"/>
            <w:vAlign w:val="top"/>
          </w:tcPr>
          <w:p>
            <w:pPr>
              <w:spacing w:line="360" w:lineRule="auto"/>
              <w:jc w:val="center"/>
              <w:rPr>
                <w:rFonts w:hint="eastAsia" w:ascii="宋体" w:hAnsi="宋体" w:eastAsia="宋体" w:cs="Times New Roman"/>
                <w:color w:val="000000"/>
                <w:kern w:val="2"/>
                <w:sz w:val="21"/>
                <w:szCs w:val="21"/>
                <w:lang w:val="en-US" w:eastAsia="zh-CN" w:bidi="ar-SA"/>
              </w:rPr>
            </w:pPr>
            <w:r>
              <w:rPr>
                <w:rFonts w:hint="eastAsia" w:ascii="宋体" w:hAnsi="宋体"/>
                <w:color w:val="000000"/>
                <w:sz w:val="21"/>
                <w:szCs w:val="21"/>
                <w:lang w:val="en-US" w:eastAsia="zh-CN"/>
              </w:rPr>
              <w:t>GB 35844-2018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85" w:type="dxa"/>
            <w:shd w:val="clear" w:color="auto" w:fill="auto"/>
            <w:noWrap w:val="0"/>
            <w:vAlign w:val="center"/>
          </w:tcPr>
          <w:p>
            <w:pPr>
              <w:spacing w:line="360" w:lineRule="auto"/>
              <w:jc w:val="center"/>
              <w:rPr>
                <w:rFonts w:hint="eastAsia" w:ascii="宋体" w:hAnsi="宋体" w:eastAsia="宋体" w:cs="Times New Roman"/>
                <w:color w:val="000000"/>
                <w:kern w:val="2"/>
                <w:sz w:val="21"/>
                <w:szCs w:val="21"/>
                <w:lang w:val="en-US" w:eastAsia="zh-CN" w:bidi="ar-SA"/>
              </w:rPr>
            </w:pPr>
            <w:r>
              <w:rPr>
                <w:rFonts w:hint="eastAsia" w:ascii="宋体" w:hAnsi="宋体"/>
                <w:color w:val="000000"/>
                <w:sz w:val="21"/>
                <w:szCs w:val="21"/>
              </w:rPr>
              <w:t>4</w:t>
            </w:r>
          </w:p>
        </w:tc>
        <w:tc>
          <w:tcPr>
            <w:tcW w:w="3709" w:type="dxa"/>
            <w:shd w:val="clear" w:color="auto" w:fill="auto"/>
            <w:noWrap w:val="0"/>
            <w:vAlign w:val="center"/>
          </w:tcPr>
          <w:p>
            <w:pPr>
              <w:spacing w:line="360" w:lineRule="auto"/>
              <w:jc w:val="center"/>
              <w:rPr>
                <w:rFonts w:hint="eastAsia" w:ascii="宋体" w:hAnsi="宋体" w:eastAsia="宋体" w:cs="Times New Roman"/>
                <w:color w:val="000000"/>
                <w:kern w:val="2"/>
                <w:sz w:val="21"/>
                <w:szCs w:val="21"/>
                <w:lang w:val="en-US" w:eastAsia="zh-CN" w:bidi="ar-SA"/>
              </w:rPr>
            </w:pPr>
            <w:r>
              <w:rPr>
                <w:rFonts w:hint="eastAsia" w:ascii="宋体" w:hAnsi="宋体"/>
                <w:color w:val="000000"/>
                <w:sz w:val="21"/>
                <w:szCs w:val="21"/>
              </w:rPr>
              <w:t>关闭压力</w:t>
            </w:r>
          </w:p>
        </w:tc>
        <w:tc>
          <w:tcPr>
            <w:tcW w:w="2490" w:type="dxa"/>
            <w:shd w:val="clear" w:color="auto" w:fill="auto"/>
            <w:noWrap w:val="0"/>
            <w:vAlign w:val="top"/>
          </w:tcPr>
          <w:p>
            <w:pPr>
              <w:spacing w:line="360" w:lineRule="auto"/>
              <w:jc w:val="center"/>
              <w:rPr>
                <w:rFonts w:hint="eastAsia" w:ascii="宋体" w:hAnsi="宋体" w:eastAsia="宋体" w:cs="Times New Roman"/>
                <w:color w:val="000000"/>
                <w:kern w:val="2"/>
                <w:sz w:val="21"/>
                <w:szCs w:val="21"/>
                <w:lang w:val="en-US" w:eastAsia="zh-CN" w:bidi="ar-SA"/>
              </w:rPr>
            </w:pPr>
            <w:r>
              <w:rPr>
                <w:rFonts w:hint="eastAsia" w:ascii="宋体" w:hAnsi="宋体"/>
                <w:color w:val="000000"/>
                <w:sz w:val="21"/>
                <w:szCs w:val="21"/>
                <w:lang w:val="en-US" w:eastAsia="zh-CN"/>
              </w:rPr>
              <w:t>GB 35844-2018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85" w:type="dxa"/>
            <w:shd w:val="clear" w:color="auto" w:fill="auto"/>
            <w:noWrap w:val="0"/>
            <w:vAlign w:val="center"/>
          </w:tcPr>
          <w:p>
            <w:pPr>
              <w:spacing w:line="360" w:lineRule="auto"/>
              <w:jc w:val="center"/>
              <w:rPr>
                <w:rFonts w:hint="eastAsia" w:ascii="宋体" w:hAnsi="宋体" w:eastAsia="宋体" w:cs="Times New Roman"/>
                <w:color w:val="000000"/>
                <w:kern w:val="2"/>
                <w:sz w:val="21"/>
                <w:szCs w:val="21"/>
                <w:lang w:val="en-US" w:eastAsia="zh-CN" w:bidi="ar-SA"/>
              </w:rPr>
            </w:pPr>
            <w:r>
              <w:rPr>
                <w:rFonts w:hint="eastAsia" w:ascii="宋体" w:hAnsi="宋体"/>
                <w:color w:val="000000"/>
                <w:sz w:val="21"/>
                <w:szCs w:val="21"/>
              </w:rPr>
              <w:t>5</w:t>
            </w:r>
          </w:p>
        </w:tc>
        <w:tc>
          <w:tcPr>
            <w:tcW w:w="3709" w:type="dxa"/>
            <w:shd w:val="clear" w:color="auto" w:fill="auto"/>
            <w:noWrap w:val="0"/>
            <w:vAlign w:val="center"/>
          </w:tcPr>
          <w:p>
            <w:pPr>
              <w:spacing w:line="360" w:lineRule="auto"/>
              <w:jc w:val="center"/>
              <w:rPr>
                <w:rFonts w:hint="eastAsia" w:ascii="宋体" w:hAnsi="宋体" w:eastAsia="宋体" w:cs="Times New Roman"/>
                <w:color w:val="000000"/>
                <w:kern w:val="2"/>
                <w:sz w:val="21"/>
                <w:szCs w:val="21"/>
                <w:lang w:val="en-US" w:eastAsia="zh-CN" w:bidi="ar-SA"/>
              </w:rPr>
            </w:pPr>
            <w:r>
              <w:rPr>
                <w:rFonts w:hint="eastAsia" w:ascii="宋体" w:hAnsi="宋体"/>
                <w:color w:val="000000"/>
                <w:sz w:val="21"/>
                <w:szCs w:val="21"/>
              </w:rPr>
              <w:t>出口压力</w:t>
            </w:r>
          </w:p>
        </w:tc>
        <w:tc>
          <w:tcPr>
            <w:tcW w:w="2490" w:type="dxa"/>
            <w:shd w:val="clear" w:color="auto" w:fill="auto"/>
            <w:noWrap w:val="0"/>
            <w:vAlign w:val="top"/>
          </w:tcPr>
          <w:p>
            <w:pPr>
              <w:spacing w:line="360" w:lineRule="auto"/>
              <w:jc w:val="center"/>
              <w:rPr>
                <w:rFonts w:hint="eastAsia" w:ascii="宋体" w:hAnsi="宋体" w:eastAsia="宋体" w:cs="Times New Roman"/>
                <w:color w:val="000000"/>
                <w:kern w:val="2"/>
                <w:sz w:val="21"/>
                <w:szCs w:val="21"/>
                <w:lang w:val="en-US" w:eastAsia="zh-CN" w:bidi="ar-SA"/>
              </w:rPr>
            </w:pPr>
            <w:r>
              <w:rPr>
                <w:rFonts w:hint="eastAsia" w:ascii="宋体" w:hAnsi="宋体"/>
                <w:color w:val="000000"/>
                <w:sz w:val="21"/>
                <w:szCs w:val="21"/>
                <w:lang w:val="en-US" w:eastAsia="zh-CN"/>
              </w:rPr>
              <w:t>GB 35844-2018</w:t>
            </w:r>
          </w:p>
        </w:tc>
      </w:tr>
    </w:tbl>
    <w:p>
      <w:pPr>
        <w:adjustRightInd w:val="0"/>
        <w:snapToGrid w:val="0"/>
        <w:spacing w:line="440" w:lineRule="exact"/>
        <w:ind w:firstLine="420" w:firstLineChars="200"/>
        <w:rPr>
          <w:color w:val="000000"/>
          <w:szCs w:val="21"/>
        </w:rPr>
      </w:pPr>
      <w:bookmarkStart w:id="0" w:name="_Hlk40347690"/>
      <w:r>
        <w:rPr>
          <w:rFonts w:hint="eastAsia"/>
          <w:color w:val="000000"/>
          <w:szCs w:val="21"/>
        </w:rPr>
        <w:t>执行企业标准、团体标准、地方标准的产品，检验项目参照上述内容执行。</w:t>
      </w:r>
    </w:p>
    <w:bookmarkEnd w:id="0"/>
    <w:p>
      <w:pPr>
        <w:snapToGrid w:val="0"/>
        <w:spacing w:line="440" w:lineRule="exact"/>
        <w:ind w:firstLine="420" w:firstLineChars="200"/>
        <w:rPr>
          <w:color w:val="000000"/>
          <w:szCs w:val="21"/>
        </w:rPr>
      </w:pPr>
      <w:r>
        <w:rPr>
          <w:rFonts w:hint="eastAsia"/>
          <w:color w:val="000000"/>
          <w:szCs w:val="21"/>
        </w:rPr>
        <w:t>凡是注日期的文件，其随后所有的修改单（不包括勘误的内容）或修订版不适用于本细则。凡是不注日期的文件，其最新版本适用于本细则。</w:t>
      </w:r>
    </w:p>
    <w:p>
      <w:pPr>
        <w:snapToGrid w:val="0"/>
        <w:spacing w:line="440" w:lineRule="exact"/>
        <w:rPr>
          <w:rFonts w:hint="eastAsia" w:ascii="黑体" w:hAnsi="宋体" w:eastAsia="黑体"/>
          <w:b w:val="0"/>
          <w:bCs w:val="0"/>
          <w:color w:val="000000"/>
          <w:szCs w:val="21"/>
        </w:rPr>
      </w:pPr>
    </w:p>
    <w:p>
      <w:pPr>
        <w:snapToGrid w:val="0"/>
        <w:spacing w:line="440" w:lineRule="exact"/>
        <w:rPr>
          <w:rFonts w:hint="eastAsia" w:ascii="黑体" w:hAnsi="宋体" w:eastAsia="黑体"/>
          <w:b w:val="0"/>
          <w:bCs w:val="0"/>
          <w:color w:val="000000"/>
          <w:szCs w:val="21"/>
        </w:rPr>
      </w:pPr>
      <w:r>
        <w:rPr>
          <w:rFonts w:hint="eastAsia" w:ascii="黑体" w:hAnsi="宋体" w:eastAsia="黑体"/>
          <w:b w:val="0"/>
          <w:bCs w:val="0"/>
          <w:color w:val="000000"/>
          <w:szCs w:val="21"/>
        </w:rPr>
        <w:t>3 判定规则</w:t>
      </w:r>
    </w:p>
    <w:p>
      <w:pPr>
        <w:adjustRightInd w:val="0"/>
        <w:snapToGrid w:val="0"/>
        <w:spacing w:line="440" w:lineRule="exact"/>
        <w:rPr>
          <w:rFonts w:hint="eastAsia" w:ascii="宋体" w:hAnsi="宋体" w:eastAsia="宋体" w:cs="宋体"/>
          <w:color w:val="000000"/>
        </w:rPr>
      </w:pPr>
      <w:r>
        <w:rPr>
          <w:rFonts w:hint="eastAsia" w:ascii="宋体" w:hAnsi="宋体" w:eastAsia="宋体" w:cs="宋体"/>
          <w:color w:val="000000"/>
        </w:rPr>
        <w:t>3.1依据标准</w:t>
      </w:r>
    </w:p>
    <w:p>
      <w:pPr>
        <w:spacing w:line="280" w:lineRule="exact"/>
        <w:ind w:firstLine="420" w:firstLineChars="200"/>
        <w:rPr>
          <w:rFonts w:hint="default" w:ascii="宋体" w:hAnsi="宋体" w:eastAsia="宋体"/>
          <w:lang w:val="en-US" w:eastAsia="zh-CN"/>
        </w:rPr>
      </w:pPr>
      <w:r>
        <w:rPr>
          <w:rFonts w:hint="eastAsia" w:ascii="宋体" w:hAnsi="宋体"/>
          <w:lang w:eastAsia="zh-CN"/>
        </w:rPr>
        <w:t>GB</w:t>
      </w:r>
      <w:r>
        <w:rPr>
          <w:rFonts w:hint="eastAsia" w:ascii="宋体" w:hAnsi="宋体"/>
          <w:lang w:val="en-US" w:eastAsia="zh-CN"/>
        </w:rPr>
        <w:t xml:space="preserve"> </w:t>
      </w:r>
      <w:r>
        <w:rPr>
          <w:rFonts w:hint="eastAsia" w:ascii="宋体" w:hAnsi="宋体"/>
          <w:lang w:eastAsia="zh-CN"/>
        </w:rPr>
        <w:t>35844-2018</w:t>
      </w:r>
      <w:r>
        <w:rPr>
          <w:rFonts w:hint="eastAsia" w:ascii="宋体" w:hAnsi="宋体"/>
        </w:rPr>
        <w:t xml:space="preserve">  </w:t>
      </w:r>
      <w:r>
        <w:rPr>
          <w:rFonts w:hint="eastAsia" w:ascii="宋体" w:hAnsi="宋体"/>
          <w:lang w:eastAsia="zh-CN"/>
        </w:rPr>
        <w:t>瓶装液化石油气调压器</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现行有效的企业标准、团体标准、地方标准及产品明示质量要求</w:t>
      </w:r>
    </w:p>
    <w:p>
      <w:pPr>
        <w:adjustRightInd w:val="0"/>
        <w:snapToGrid w:val="0"/>
        <w:spacing w:line="440" w:lineRule="exact"/>
        <w:rPr>
          <w:rFonts w:hint="eastAsia" w:ascii="宋体" w:hAnsi="宋体" w:eastAsia="宋体" w:cs="宋体"/>
          <w:color w:val="000000"/>
        </w:rPr>
      </w:pPr>
      <w:r>
        <w:rPr>
          <w:rFonts w:hint="eastAsia" w:ascii="宋体" w:hAnsi="宋体" w:eastAsia="宋体" w:cs="宋体"/>
          <w:color w:val="000000"/>
        </w:rPr>
        <w:t>3.2判定原则</w:t>
      </w:r>
    </w:p>
    <w:p>
      <w:pPr>
        <w:adjustRightInd w:val="0"/>
        <w:snapToGrid w:val="0"/>
        <w:spacing w:line="440" w:lineRule="exact"/>
        <w:ind w:firstLine="420" w:firstLineChars="200"/>
        <w:rPr>
          <w:rFonts w:hint="eastAsia"/>
          <w:color w:val="000000"/>
          <w:highlight w:val="none"/>
        </w:rPr>
      </w:pPr>
      <w:r>
        <w:rPr>
          <w:rFonts w:hint="eastAsia"/>
          <w:color w:val="000000"/>
          <w:highlight w:val="none"/>
        </w:rPr>
        <w:t>经检验，检验项目全部合格，判定为被抽查产品所检项目未发现不合格；检验项目中任一项或一项以上不合格，判定为被抽查产品不合格。</w:t>
      </w:r>
    </w:p>
    <w:p>
      <w:pPr>
        <w:adjustRightInd w:val="0"/>
        <w:snapToGrid w:val="0"/>
        <w:spacing w:line="440" w:lineRule="exact"/>
        <w:ind w:firstLine="420" w:firstLineChars="200"/>
        <w:rPr>
          <w:rFonts w:hint="eastAsia"/>
          <w:color w:val="000000"/>
          <w:highlight w:val="none"/>
        </w:rPr>
      </w:pPr>
      <w:r>
        <w:rPr>
          <w:rFonts w:hint="eastAsia"/>
          <w:color w:val="000000"/>
          <w:highlight w:val="none"/>
        </w:rPr>
        <w:t>若被检产品明示的质量要求高于本细则中检验项目依据的标准要求时，应按被检产品明示的质量要求判定。</w:t>
      </w:r>
    </w:p>
    <w:p>
      <w:pPr>
        <w:adjustRightInd w:val="0"/>
        <w:snapToGrid w:val="0"/>
        <w:spacing w:line="440" w:lineRule="exact"/>
        <w:ind w:firstLine="420" w:firstLineChars="200"/>
        <w:rPr>
          <w:rFonts w:hint="eastAsia"/>
          <w:color w:val="000000"/>
          <w:highlight w:val="none"/>
        </w:rPr>
      </w:pPr>
      <w:r>
        <w:rPr>
          <w:rFonts w:hint="eastAsia"/>
          <w:color w:val="000000"/>
          <w:highlight w:val="none"/>
        </w:rPr>
        <w:t>若被检产品明示的质量要求低于本细则中检验项目依据的强制性标准要求时，应按照强制性标准要求判定。</w:t>
      </w:r>
    </w:p>
    <w:p>
      <w:pPr>
        <w:adjustRightInd w:val="0"/>
        <w:snapToGrid w:val="0"/>
        <w:spacing w:line="440" w:lineRule="exact"/>
        <w:ind w:firstLine="420" w:firstLineChars="200"/>
        <w:rPr>
          <w:rFonts w:hint="eastAsia"/>
          <w:color w:val="000000"/>
          <w:highlight w:val="none"/>
        </w:rPr>
      </w:pPr>
      <w:r>
        <w:rPr>
          <w:rFonts w:hint="eastAsia"/>
          <w:color w:val="000000"/>
          <w:highlight w:val="none"/>
        </w:rPr>
        <w:t>若被检产品明示的质量要求低于或包含本细则中检验项目依据的推荐性标准要求时，应以被检产品明示的质量要求判定。</w:t>
      </w:r>
    </w:p>
    <w:p>
      <w:pPr>
        <w:adjustRightInd w:val="0"/>
        <w:snapToGrid w:val="0"/>
        <w:spacing w:line="440" w:lineRule="exact"/>
        <w:ind w:firstLine="420" w:firstLineChars="200"/>
        <w:rPr>
          <w:rFonts w:hint="eastAsia"/>
          <w:color w:val="000000"/>
          <w:highlight w:val="none"/>
        </w:rPr>
      </w:pPr>
      <w:r>
        <w:rPr>
          <w:rFonts w:hint="eastAsia"/>
          <w:color w:val="000000"/>
          <w:highlight w:val="none"/>
        </w:rPr>
        <w:t>若被检产品明示的质量要求缺少本细则中检验项目依据的强制性标准要求时，应按照强制性标准要求判定。</w:t>
      </w:r>
    </w:p>
    <w:p>
      <w:pPr>
        <w:adjustRightInd w:val="0"/>
        <w:snapToGrid w:val="0"/>
        <w:spacing w:line="440" w:lineRule="exact"/>
        <w:ind w:firstLine="420" w:firstLineChars="200"/>
        <w:rPr>
          <w:rFonts w:hint="eastAsia" w:ascii="宋体" w:hAnsi="宋体"/>
          <w:b/>
          <w:lang w:val="en-US" w:eastAsia="zh-CN"/>
        </w:rPr>
      </w:pPr>
      <w:r>
        <w:rPr>
          <w:rFonts w:hint="eastAsia"/>
          <w:color w:val="000000"/>
          <w:highlight w:val="none"/>
        </w:rPr>
        <w:t>若被检产品明示的质量要求缺少本细则中检验项目依据的推荐性标准要求时，该项目不参与判定。</w:t>
      </w:r>
    </w:p>
    <w:p>
      <w:pPr>
        <w:spacing w:line="400" w:lineRule="exact"/>
        <w:rPr>
          <w:rFonts w:hint="eastAsia" w:ascii="黑体" w:hAnsi="黑体" w:eastAsia="黑体" w:cs="黑体"/>
          <w:b w:val="0"/>
          <w:bCs/>
          <w:lang w:val="en-US" w:eastAsia="zh-CN"/>
        </w:rPr>
      </w:pPr>
      <w:r>
        <w:rPr>
          <w:rFonts w:hint="eastAsia" w:ascii="黑体" w:hAnsi="黑体" w:eastAsia="黑体" w:cs="黑体"/>
          <w:b w:val="0"/>
          <w:bCs/>
          <w:lang w:val="en-US" w:eastAsia="zh-CN"/>
        </w:rPr>
        <w:t>4  附则</w:t>
      </w:r>
    </w:p>
    <w:p>
      <w:pPr>
        <w:spacing w:line="400" w:lineRule="exact"/>
        <w:ind w:firstLine="420" w:firstLineChars="200"/>
        <w:rPr>
          <w:rFonts w:ascii="宋体" w:hAnsi="宋体"/>
          <w:highlight w:val="none"/>
        </w:rPr>
      </w:pPr>
      <w:r>
        <w:rPr>
          <w:rFonts w:hint="eastAsia" w:ascii="宋体" w:hAnsi="宋体"/>
          <w:highlight w:val="none"/>
        </w:rPr>
        <w:t>本细则由</w:t>
      </w:r>
      <w:r>
        <w:rPr>
          <w:rFonts w:hint="eastAsia" w:ascii="宋体" w:hAnsi="宋体"/>
          <w:highlight w:val="none"/>
          <w:lang w:eastAsia="zh-CN"/>
        </w:rPr>
        <w:t>安徽省</w:t>
      </w:r>
      <w:r>
        <w:rPr>
          <w:rFonts w:hint="eastAsia" w:ascii="宋体" w:hAnsi="宋体"/>
          <w:highlight w:val="none"/>
        </w:rPr>
        <w:t>产品质量监督检验研究院编制，</w:t>
      </w:r>
      <w:r>
        <w:rPr>
          <w:rFonts w:hint="eastAsia" w:ascii="宋体" w:hAnsi="宋体"/>
          <w:highlight w:val="none"/>
          <w:lang w:val="en-US" w:eastAsia="zh-CN"/>
        </w:rPr>
        <w:t>六安市</w:t>
      </w:r>
      <w:r>
        <w:rPr>
          <w:rFonts w:hint="eastAsia" w:ascii="宋体" w:hAnsi="宋体"/>
          <w:highlight w:val="none"/>
        </w:rPr>
        <w:t>市场监督管理局管理。</w:t>
      </w:r>
    </w:p>
    <w:p>
      <w:pPr>
        <w:adjustRightInd w:val="0"/>
        <w:snapToGrid w:val="0"/>
        <w:spacing w:line="440" w:lineRule="exact"/>
        <w:ind w:firstLine="417" w:firstLineChars="199"/>
        <w:rPr>
          <w:rFonts w:hint="eastAsia" w:ascii="宋体" w:hAnsi="宋体" w:eastAsia="宋体" w:cs="宋体"/>
          <w:color w:val="000000"/>
        </w:rPr>
      </w:pPr>
    </w:p>
    <w:sectPr>
      <w:footerReference r:id="rId3" w:type="default"/>
      <w:pgSz w:w="11906" w:h="16838"/>
      <w:pgMar w:top="1440" w:right="1800" w:bottom="1440" w:left="1800"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onospace">
    <w:altName w:val="Courier New"/>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6"/>
      </w:rPr>
    </w:pPr>
    <w:r>
      <w:rPr>
        <w:rStyle w:val="16"/>
      </w:rPr>
      <w:fldChar w:fldCharType="begin"/>
    </w:r>
    <w:r>
      <w:rPr>
        <w:rStyle w:val="16"/>
      </w:rPr>
      <w:instrText xml:space="preserve">PAGE  </w:instrText>
    </w:r>
    <w:r>
      <w:rPr>
        <w:rStyle w:val="16"/>
      </w:rPr>
      <w:fldChar w:fldCharType="separate"/>
    </w:r>
    <w:r>
      <w:rPr>
        <w:rStyle w:val="16"/>
      </w:rPr>
      <w:t>1</w:t>
    </w:r>
    <w:r>
      <w:rPr>
        <w:rStyle w:val="16"/>
      </w:rPr>
      <w:fldChar w:fldCharType="end"/>
    </w:r>
  </w:p>
  <w:p>
    <w:pPr>
      <w:pStyle w:val="9"/>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oNotHyphenateCaps/>
  <w:drawingGridHorizontalSpacing w:val="0"/>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lmMzIwYjQzY2U3NzM3MmIxMmNhMDczMGE1MTY0MDQifQ=="/>
  </w:docVars>
  <w:rsids>
    <w:rsidRoot w:val="00172A27"/>
    <w:rsid w:val="00005A20"/>
    <w:rsid w:val="00034B28"/>
    <w:rsid w:val="000351D9"/>
    <w:rsid w:val="00036397"/>
    <w:rsid w:val="00040155"/>
    <w:rsid w:val="0004751E"/>
    <w:rsid w:val="00055794"/>
    <w:rsid w:val="00063255"/>
    <w:rsid w:val="00086A23"/>
    <w:rsid w:val="000A1A2F"/>
    <w:rsid w:val="00102157"/>
    <w:rsid w:val="00104380"/>
    <w:rsid w:val="001140D2"/>
    <w:rsid w:val="00124675"/>
    <w:rsid w:val="0014700C"/>
    <w:rsid w:val="00166795"/>
    <w:rsid w:val="00172A27"/>
    <w:rsid w:val="001A26F3"/>
    <w:rsid w:val="00217AF4"/>
    <w:rsid w:val="002449DB"/>
    <w:rsid w:val="00267592"/>
    <w:rsid w:val="002904F5"/>
    <w:rsid w:val="002A75DE"/>
    <w:rsid w:val="002B7064"/>
    <w:rsid w:val="002C2F25"/>
    <w:rsid w:val="00303465"/>
    <w:rsid w:val="003042F4"/>
    <w:rsid w:val="003117B3"/>
    <w:rsid w:val="003122F5"/>
    <w:rsid w:val="0031572F"/>
    <w:rsid w:val="00324255"/>
    <w:rsid w:val="00350941"/>
    <w:rsid w:val="00353A78"/>
    <w:rsid w:val="00364676"/>
    <w:rsid w:val="00391605"/>
    <w:rsid w:val="003C2376"/>
    <w:rsid w:val="003C65F2"/>
    <w:rsid w:val="003F7C05"/>
    <w:rsid w:val="0041062C"/>
    <w:rsid w:val="00417AC8"/>
    <w:rsid w:val="00420831"/>
    <w:rsid w:val="0042209F"/>
    <w:rsid w:val="00431E3E"/>
    <w:rsid w:val="004560A2"/>
    <w:rsid w:val="004678B5"/>
    <w:rsid w:val="004743C7"/>
    <w:rsid w:val="004A2E96"/>
    <w:rsid w:val="004B5F3C"/>
    <w:rsid w:val="004B7702"/>
    <w:rsid w:val="004C4065"/>
    <w:rsid w:val="004E6040"/>
    <w:rsid w:val="00520CB1"/>
    <w:rsid w:val="00522C50"/>
    <w:rsid w:val="00530C8F"/>
    <w:rsid w:val="005512AF"/>
    <w:rsid w:val="00584453"/>
    <w:rsid w:val="005C719E"/>
    <w:rsid w:val="00600AD2"/>
    <w:rsid w:val="00645B6E"/>
    <w:rsid w:val="00652B07"/>
    <w:rsid w:val="00661968"/>
    <w:rsid w:val="006822A8"/>
    <w:rsid w:val="00684B99"/>
    <w:rsid w:val="006D6300"/>
    <w:rsid w:val="00700901"/>
    <w:rsid w:val="00706509"/>
    <w:rsid w:val="007226CF"/>
    <w:rsid w:val="00724B03"/>
    <w:rsid w:val="0075724F"/>
    <w:rsid w:val="007808DD"/>
    <w:rsid w:val="0078145F"/>
    <w:rsid w:val="007852CC"/>
    <w:rsid w:val="007875B4"/>
    <w:rsid w:val="0079491D"/>
    <w:rsid w:val="007D10EF"/>
    <w:rsid w:val="007D1197"/>
    <w:rsid w:val="007D464E"/>
    <w:rsid w:val="007E193B"/>
    <w:rsid w:val="007E7ACB"/>
    <w:rsid w:val="00802ED9"/>
    <w:rsid w:val="00805A0E"/>
    <w:rsid w:val="00807CF8"/>
    <w:rsid w:val="00817C18"/>
    <w:rsid w:val="00821923"/>
    <w:rsid w:val="00835152"/>
    <w:rsid w:val="00837F0E"/>
    <w:rsid w:val="00855755"/>
    <w:rsid w:val="008576BF"/>
    <w:rsid w:val="008B08F7"/>
    <w:rsid w:val="008C589D"/>
    <w:rsid w:val="008D1F5A"/>
    <w:rsid w:val="008E2383"/>
    <w:rsid w:val="008F0B4B"/>
    <w:rsid w:val="00903ABE"/>
    <w:rsid w:val="009147F5"/>
    <w:rsid w:val="00941062"/>
    <w:rsid w:val="009476BB"/>
    <w:rsid w:val="00950F16"/>
    <w:rsid w:val="00954A70"/>
    <w:rsid w:val="00961B11"/>
    <w:rsid w:val="00962DDF"/>
    <w:rsid w:val="009952DA"/>
    <w:rsid w:val="009A5DDE"/>
    <w:rsid w:val="009B1664"/>
    <w:rsid w:val="009C4288"/>
    <w:rsid w:val="009D7D78"/>
    <w:rsid w:val="009E45F1"/>
    <w:rsid w:val="00A016B1"/>
    <w:rsid w:val="00A1281F"/>
    <w:rsid w:val="00A4206C"/>
    <w:rsid w:val="00A4416C"/>
    <w:rsid w:val="00A50F55"/>
    <w:rsid w:val="00A92BA7"/>
    <w:rsid w:val="00AD301E"/>
    <w:rsid w:val="00AF0342"/>
    <w:rsid w:val="00AF1BB4"/>
    <w:rsid w:val="00AF5C07"/>
    <w:rsid w:val="00AF6D63"/>
    <w:rsid w:val="00B05067"/>
    <w:rsid w:val="00B46293"/>
    <w:rsid w:val="00B7576B"/>
    <w:rsid w:val="00B93D5F"/>
    <w:rsid w:val="00B94024"/>
    <w:rsid w:val="00B95D86"/>
    <w:rsid w:val="00B97899"/>
    <w:rsid w:val="00BD50B9"/>
    <w:rsid w:val="00BE6444"/>
    <w:rsid w:val="00CB67B8"/>
    <w:rsid w:val="00CD3BA2"/>
    <w:rsid w:val="00CF0F78"/>
    <w:rsid w:val="00D26000"/>
    <w:rsid w:val="00D40532"/>
    <w:rsid w:val="00D57517"/>
    <w:rsid w:val="00D634BD"/>
    <w:rsid w:val="00D63AC5"/>
    <w:rsid w:val="00D92628"/>
    <w:rsid w:val="00DF6362"/>
    <w:rsid w:val="00E0102D"/>
    <w:rsid w:val="00E01962"/>
    <w:rsid w:val="00E16EE7"/>
    <w:rsid w:val="00E40971"/>
    <w:rsid w:val="00E55F76"/>
    <w:rsid w:val="00E6068B"/>
    <w:rsid w:val="00E8287C"/>
    <w:rsid w:val="00E9268C"/>
    <w:rsid w:val="00E95EA4"/>
    <w:rsid w:val="00EC5BDF"/>
    <w:rsid w:val="00ED7FE2"/>
    <w:rsid w:val="00F315CC"/>
    <w:rsid w:val="00FB21B8"/>
    <w:rsid w:val="031943E4"/>
    <w:rsid w:val="033A014E"/>
    <w:rsid w:val="03DC373F"/>
    <w:rsid w:val="046C74B4"/>
    <w:rsid w:val="050B47B9"/>
    <w:rsid w:val="07672914"/>
    <w:rsid w:val="07F22019"/>
    <w:rsid w:val="08A74A48"/>
    <w:rsid w:val="097537AA"/>
    <w:rsid w:val="09B37439"/>
    <w:rsid w:val="0BE05C40"/>
    <w:rsid w:val="12495675"/>
    <w:rsid w:val="13045B35"/>
    <w:rsid w:val="13AE103D"/>
    <w:rsid w:val="157A1825"/>
    <w:rsid w:val="15805E4D"/>
    <w:rsid w:val="162A486A"/>
    <w:rsid w:val="1635752B"/>
    <w:rsid w:val="16E21CB9"/>
    <w:rsid w:val="180D3C62"/>
    <w:rsid w:val="18746BDC"/>
    <w:rsid w:val="18C14E5E"/>
    <w:rsid w:val="1A9A478D"/>
    <w:rsid w:val="1B103D73"/>
    <w:rsid w:val="1B41616E"/>
    <w:rsid w:val="1B6415FF"/>
    <w:rsid w:val="1CA51C0B"/>
    <w:rsid w:val="1CDC37CE"/>
    <w:rsid w:val="1D5239E6"/>
    <w:rsid w:val="1ED66FCF"/>
    <w:rsid w:val="22D554C1"/>
    <w:rsid w:val="248B30E0"/>
    <w:rsid w:val="24E848A1"/>
    <w:rsid w:val="25240560"/>
    <w:rsid w:val="253E3FF2"/>
    <w:rsid w:val="25AD4C1F"/>
    <w:rsid w:val="29395066"/>
    <w:rsid w:val="29BB4DC0"/>
    <w:rsid w:val="2A560303"/>
    <w:rsid w:val="2B4C06CC"/>
    <w:rsid w:val="2B711D54"/>
    <w:rsid w:val="2C89367C"/>
    <w:rsid w:val="2CEE4744"/>
    <w:rsid w:val="2D79212A"/>
    <w:rsid w:val="2E576C11"/>
    <w:rsid w:val="2E851362"/>
    <w:rsid w:val="2F20375F"/>
    <w:rsid w:val="2F497C57"/>
    <w:rsid w:val="30DF68CE"/>
    <w:rsid w:val="31D87FFF"/>
    <w:rsid w:val="33D47599"/>
    <w:rsid w:val="35A35F0C"/>
    <w:rsid w:val="35B06902"/>
    <w:rsid w:val="35B075D2"/>
    <w:rsid w:val="3667278C"/>
    <w:rsid w:val="375B0AE1"/>
    <w:rsid w:val="3762738D"/>
    <w:rsid w:val="379F351A"/>
    <w:rsid w:val="39333E81"/>
    <w:rsid w:val="394250FE"/>
    <w:rsid w:val="398423C7"/>
    <w:rsid w:val="3A240A5F"/>
    <w:rsid w:val="3A584C46"/>
    <w:rsid w:val="3A7916BF"/>
    <w:rsid w:val="3BC506E1"/>
    <w:rsid w:val="3C251D59"/>
    <w:rsid w:val="3C8B41F8"/>
    <w:rsid w:val="3E8423B0"/>
    <w:rsid w:val="3F5073A0"/>
    <w:rsid w:val="3FAC7EA4"/>
    <w:rsid w:val="3FB83E19"/>
    <w:rsid w:val="40F40103"/>
    <w:rsid w:val="41101E4C"/>
    <w:rsid w:val="41897783"/>
    <w:rsid w:val="44FE5AC3"/>
    <w:rsid w:val="45BB3CEC"/>
    <w:rsid w:val="461A6091"/>
    <w:rsid w:val="469B5C13"/>
    <w:rsid w:val="475472AD"/>
    <w:rsid w:val="48B4421B"/>
    <w:rsid w:val="4937272B"/>
    <w:rsid w:val="4BF15EA3"/>
    <w:rsid w:val="4BF421CA"/>
    <w:rsid w:val="4CCB5B0A"/>
    <w:rsid w:val="4F5E5EEC"/>
    <w:rsid w:val="509F1015"/>
    <w:rsid w:val="521C6A34"/>
    <w:rsid w:val="522B5DD4"/>
    <w:rsid w:val="53EB4A69"/>
    <w:rsid w:val="56A603BA"/>
    <w:rsid w:val="575E26DE"/>
    <w:rsid w:val="57FA2AB3"/>
    <w:rsid w:val="58625F74"/>
    <w:rsid w:val="5872092A"/>
    <w:rsid w:val="5A6071DF"/>
    <w:rsid w:val="5B9428B5"/>
    <w:rsid w:val="5C4D368C"/>
    <w:rsid w:val="5CBC1ADB"/>
    <w:rsid w:val="5EF9755F"/>
    <w:rsid w:val="61BD3765"/>
    <w:rsid w:val="622A33CC"/>
    <w:rsid w:val="627F1B8D"/>
    <w:rsid w:val="65C57E4D"/>
    <w:rsid w:val="65C72CD3"/>
    <w:rsid w:val="66216482"/>
    <w:rsid w:val="668918E4"/>
    <w:rsid w:val="69BA397D"/>
    <w:rsid w:val="6A3D00DC"/>
    <w:rsid w:val="6A8A174C"/>
    <w:rsid w:val="6BC74101"/>
    <w:rsid w:val="6BCC1AEC"/>
    <w:rsid w:val="6CE3305F"/>
    <w:rsid w:val="6D9745DB"/>
    <w:rsid w:val="750F413E"/>
    <w:rsid w:val="75456C8E"/>
    <w:rsid w:val="754B1B03"/>
    <w:rsid w:val="75B310A7"/>
    <w:rsid w:val="76D23F5B"/>
    <w:rsid w:val="77563CD7"/>
    <w:rsid w:val="78EF17CC"/>
    <w:rsid w:val="7B263697"/>
    <w:rsid w:val="7B537873"/>
    <w:rsid w:val="7B7D7929"/>
    <w:rsid w:val="7B810F0B"/>
    <w:rsid w:val="7F310E5E"/>
    <w:rsid w:val="7F921A7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nhideWhenUsed="0" w:uiPriority="1"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qFormat="1"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uiPriority="99" w:name="Normal (Web)"/>
    <w:lsdException w:qFormat="1" w:unhideWhenUsed="0" w:uiPriority="99" w:semiHidden="0" w:name="HTML Acronym"/>
    <w:lsdException w:uiPriority="99"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uiPriority="99" w:name="HTML Preformatted"/>
    <w:lsdException w:qFormat="1" w:unhideWhenUsed="0" w:uiPriority="99" w:semiHidden="0" w:name="HTML Sample"/>
    <w:lsdException w:uiPriority="99" w:name="HTML Typewriter"/>
    <w:lsdException w:qFormat="1" w:unhideWhenUsed="0" w:uiPriority="99" w:semiHidden="0"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28"/>
    <w:qFormat/>
    <w:uiPriority w:val="99"/>
    <w:pPr>
      <w:jc w:val="left"/>
      <w:outlineLvl w:val="0"/>
    </w:pPr>
    <w:rPr>
      <w:rFonts w:ascii="宋体" w:hAnsi="宋体" w:cs="宋体"/>
      <w:b/>
      <w:bCs/>
      <w:color w:val="333333"/>
      <w:kern w:val="44"/>
      <w:sz w:val="30"/>
      <w:szCs w:val="30"/>
    </w:rPr>
  </w:style>
  <w:style w:type="paragraph" w:styleId="3">
    <w:name w:val="heading 4"/>
    <w:basedOn w:val="1"/>
    <w:next w:val="1"/>
    <w:qFormat/>
    <w:locked/>
    <w:uiPriority w:val="1"/>
    <w:pPr>
      <w:spacing w:before="7"/>
      <w:ind w:left="148"/>
      <w:jc w:val="left"/>
      <w:outlineLvl w:val="3"/>
    </w:pPr>
    <w:rPr>
      <w:rFonts w:ascii="宋体" w:hAnsi="宋体"/>
      <w:b/>
      <w:bCs/>
      <w:kern w:val="0"/>
      <w:lang w:eastAsia="en-US"/>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Note Heading"/>
    <w:basedOn w:val="1"/>
    <w:next w:val="1"/>
    <w:qFormat/>
    <w:uiPriority w:val="99"/>
    <w:pPr>
      <w:autoSpaceDE w:val="0"/>
      <w:autoSpaceDN w:val="0"/>
      <w:adjustRightInd w:val="0"/>
      <w:spacing w:line="360" w:lineRule="atLeast"/>
      <w:jc w:val="center"/>
      <w:textAlignment w:val="baseline"/>
    </w:pPr>
    <w:rPr>
      <w:rFonts w:ascii="Times New Roman" w:hAnsi="Times New Roman"/>
      <w:kern w:val="0"/>
      <w:sz w:val="24"/>
      <w:szCs w:val="20"/>
    </w:rPr>
  </w:style>
  <w:style w:type="paragraph" w:styleId="5">
    <w:name w:val="annotation text"/>
    <w:basedOn w:val="1"/>
    <w:link w:val="53"/>
    <w:semiHidden/>
    <w:qFormat/>
    <w:uiPriority w:val="99"/>
    <w:pPr>
      <w:jc w:val="left"/>
    </w:pPr>
  </w:style>
  <w:style w:type="paragraph" w:styleId="6">
    <w:name w:val="Body Text"/>
    <w:basedOn w:val="1"/>
    <w:qFormat/>
    <w:uiPriority w:val="0"/>
    <w:pPr>
      <w:snapToGrid w:val="0"/>
      <w:spacing w:line="440" w:lineRule="exact"/>
    </w:pPr>
    <w:rPr>
      <w:rFonts w:ascii="宋体" w:hAnsi="宋体"/>
      <w:color w:val="FF0000"/>
      <w:sz w:val="18"/>
    </w:rPr>
  </w:style>
  <w:style w:type="paragraph" w:styleId="7">
    <w:name w:val="Body Text Indent"/>
    <w:basedOn w:val="1"/>
    <w:qFormat/>
    <w:uiPriority w:val="99"/>
    <w:pPr>
      <w:spacing w:line="280" w:lineRule="exact"/>
      <w:ind w:firstLine="420"/>
    </w:pPr>
    <w:rPr>
      <w:rFonts w:ascii="宋体" w:hAnsi="宋体"/>
      <w:szCs w:val="20"/>
    </w:rPr>
  </w:style>
  <w:style w:type="paragraph" w:styleId="8">
    <w:name w:val="Balloon Text"/>
    <w:basedOn w:val="1"/>
    <w:link w:val="51"/>
    <w:semiHidden/>
    <w:qFormat/>
    <w:uiPriority w:val="99"/>
    <w:rPr>
      <w:sz w:val="18"/>
      <w:szCs w:val="18"/>
    </w:rPr>
  </w:style>
  <w:style w:type="paragraph" w:styleId="9">
    <w:name w:val="footer"/>
    <w:basedOn w:val="1"/>
    <w:link w:val="55"/>
    <w:qFormat/>
    <w:uiPriority w:val="99"/>
    <w:pPr>
      <w:tabs>
        <w:tab w:val="center" w:pos="4153"/>
        <w:tab w:val="right" w:pos="8306"/>
      </w:tabs>
      <w:snapToGrid w:val="0"/>
      <w:jc w:val="left"/>
    </w:pPr>
    <w:rPr>
      <w:sz w:val="18"/>
      <w:szCs w:val="18"/>
    </w:rPr>
  </w:style>
  <w:style w:type="paragraph" w:styleId="10">
    <w:name w:val="header"/>
    <w:basedOn w:val="1"/>
    <w:link w:val="52"/>
    <w:qFormat/>
    <w:uiPriority w:val="99"/>
    <w:pPr>
      <w:pBdr>
        <w:bottom w:val="single" w:color="auto" w:sz="6" w:space="1"/>
      </w:pBdr>
      <w:tabs>
        <w:tab w:val="center" w:pos="4153"/>
        <w:tab w:val="right" w:pos="8306"/>
      </w:tabs>
      <w:snapToGrid w:val="0"/>
      <w:jc w:val="center"/>
    </w:pPr>
    <w:rPr>
      <w:sz w:val="18"/>
      <w:szCs w:val="18"/>
    </w:rPr>
  </w:style>
  <w:style w:type="paragraph" w:styleId="11">
    <w:name w:val="annotation subject"/>
    <w:basedOn w:val="5"/>
    <w:next w:val="5"/>
    <w:link w:val="54"/>
    <w:semiHidden/>
    <w:qFormat/>
    <w:uiPriority w:val="99"/>
    <w:rPr>
      <w:b/>
      <w:bCs/>
    </w:rPr>
  </w:style>
  <w:style w:type="table" w:styleId="13">
    <w:name w:val="Table Grid"/>
    <w:basedOn w:val="1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Strong"/>
    <w:basedOn w:val="14"/>
    <w:qFormat/>
    <w:uiPriority w:val="99"/>
    <w:rPr>
      <w:b/>
      <w:bCs/>
    </w:rPr>
  </w:style>
  <w:style w:type="character" w:styleId="16">
    <w:name w:val="page number"/>
    <w:basedOn w:val="14"/>
    <w:qFormat/>
    <w:uiPriority w:val="99"/>
  </w:style>
  <w:style w:type="character" w:styleId="17">
    <w:name w:val="FollowedHyperlink"/>
    <w:basedOn w:val="14"/>
    <w:qFormat/>
    <w:uiPriority w:val="99"/>
    <w:rPr>
      <w:color w:val="auto"/>
      <w:u w:val="none"/>
    </w:rPr>
  </w:style>
  <w:style w:type="character" w:styleId="18">
    <w:name w:val="Emphasis"/>
    <w:basedOn w:val="14"/>
    <w:qFormat/>
    <w:uiPriority w:val="99"/>
    <w:rPr>
      <w:i/>
      <w:iCs/>
    </w:rPr>
  </w:style>
  <w:style w:type="character" w:styleId="19">
    <w:name w:val="HTML Definition"/>
    <w:basedOn w:val="14"/>
    <w:qFormat/>
    <w:uiPriority w:val="99"/>
  </w:style>
  <w:style w:type="character" w:styleId="20">
    <w:name w:val="HTML Acronym"/>
    <w:basedOn w:val="14"/>
    <w:qFormat/>
    <w:uiPriority w:val="99"/>
  </w:style>
  <w:style w:type="character" w:styleId="21">
    <w:name w:val="HTML Variable"/>
    <w:basedOn w:val="14"/>
    <w:qFormat/>
    <w:uiPriority w:val="99"/>
  </w:style>
  <w:style w:type="character" w:styleId="22">
    <w:name w:val="Hyperlink"/>
    <w:basedOn w:val="14"/>
    <w:qFormat/>
    <w:uiPriority w:val="99"/>
    <w:rPr>
      <w:color w:val="auto"/>
      <w:u w:val="none"/>
    </w:rPr>
  </w:style>
  <w:style w:type="character" w:styleId="23">
    <w:name w:val="HTML Code"/>
    <w:basedOn w:val="14"/>
    <w:qFormat/>
    <w:uiPriority w:val="99"/>
    <w:rPr>
      <w:rFonts w:ascii="monospace" w:hAnsi="monospace" w:eastAsia="Times New Roman" w:cs="monospace"/>
      <w:sz w:val="24"/>
      <w:szCs w:val="24"/>
    </w:rPr>
  </w:style>
  <w:style w:type="character" w:styleId="24">
    <w:name w:val="annotation reference"/>
    <w:basedOn w:val="14"/>
    <w:semiHidden/>
    <w:qFormat/>
    <w:uiPriority w:val="99"/>
    <w:rPr>
      <w:sz w:val="21"/>
      <w:szCs w:val="21"/>
    </w:rPr>
  </w:style>
  <w:style w:type="character" w:styleId="25">
    <w:name w:val="HTML Cite"/>
    <w:basedOn w:val="14"/>
    <w:qFormat/>
    <w:uiPriority w:val="99"/>
  </w:style>
  <w:style w:type="character" w:styleId="26">
    <w:name w:val="HTML Keyboard"/>
    <w:basedOn w:val="14"/>
    <w:qFormat/>
    <w:uiPriority w:val="99"/>
    <w:rPr>
      <w:rFonts w:ascii="monospace" w:hAnsi="monospace" w:eastAsia="Times New Roman" w:cs="monospace"/>
      <w:sz w:val="24"/>
      <w:szCs w:val="24"/>
    </w:rPr>
  </w:style>
  <w:style w:type="character" w:styleId="27">
    <w:name w:val="HTML Sample"/>
    <w:basedOn w:val="14"/>
    <w:qFormat/>
    <w:uiPriority w:val="99"/>
    <w:rPr>
      <w:rFonts w:ascii="monospace" w:hAnsi="monospace" w:eastAsia="Times New Roman" w:cs="monospace"/>
      <w:sz w:val="24"/>
      <w:szCs w:val="24"/>
    </w:rPr>
  </w:style>
  <w:style w:type="character" w:customStyle="1" w:styleId="28">
    <w:name w:val="标题 1 Char"/>
    <w:basedOn w:val="14"/>
    <w:link w:val="2"/>
    <w:qFormat/>
    <w:uiPriority w:val="9"/>
    <w:rPr>
      <w:b/>
      <w:bCs/>
      <w:kern w:val="44"/>
      <w:sz w:val="44"/>
      <w:szCs w:val="44"/>
    </w:rPr>
  </w:style>
  <w:style w:type="character" w:customStyle="1" w:styleId="29">
    <w:name w:val="bds_more1"/>
    <w:basedOn w:val="14"/>
    <w:qFormat/>
    <w:uiPriority w:val="99"/>
  </w:style>
  <w:style w:type="character" w:customStyle="1" w:styleId="30">
    <w:name w:val="org_name2"/>
    <w:basedOn w:val="14"/>
    <w:qFormat/>
    <w:uiPriority w:val="99"/>
  </w:style>
  <w:style w:type="character" w:customStyle="1" w:styleId="31">
    <w:name w:val="no5"/>
    <w:basedOn w:val="14"/>
    <w:qFormat/>
    <w:uiPriority w:val="99"/>
  </w:style>
  <w:style w:type="character" w:customStyle="1" w:styleId="32">
    <w:name w:val="Comment Text Char"/>
    <w:basedOn w:val="14"/>
    <w:qFormat/>
    <w:locked/>
    <w:uiPriority w:val="99"/>
    <w:rPr>
      <w:kern w:val="2"/>
      <w:sz w:val="24"/>
      <w:szCs w:val="24"/>
    </w:rPr>
  </w:style>
  <w:style w:type="character" w:customStyle="1" w:styleId="33">
    <w:name w:val="bds_nopic"/>
    <w:basedOn w:val="14"/>
    <w:qFormat/>
    <w:uiPriority w:val="99"/>
  </w:style>
  <w:style w:type="character" w:customStyle="1" w:styleId="34">
    <w:name w:val="bds_more"/>
    <w:basedOn w:val="14"/>
    <w:qFormat/>
    <w:uiPriority w:val="99"/>
  </w:style>
  <w:style w:type="character" w:customStyle="1" w:styleId="35">
    <w:name w:val="ui-bz-bg-hover"/>
    <w:basedOn w:val="14"/>
    <w:qFormat/>
    <w:uiPriority w:val="99"/>
    <w:rPr>
      <w:shd w:val="clear" w:color="auto" w:fill="000000"/>
    </w:rPr>
  </w:style>
  <w:style w:type="character" w:customStyle="1" w:styleId="36">
    <w:name w:val="f-star"/>
    <w:basedOn w:val="14"/>
    <w:qFormat/>
    <w:uiPriority w:val="99"/>
    <w:rPr>
      <w:color w:val="auto"/>
      <w:sz w:val="21"/>
      <w:szCs w:val="21"/>
    </w:rPr>
  </w:style>
  <w:style w:type="character" w:customStyle="1" w:styleId="37">
    <w:name w:val="ui-bz-bg-hover1"/>
    <w:basedOn w:val="14"/>
    <w:qFormat/>
    <w:uiPriority w:val="99"/>
  </w:style>
  <w:style w:type="character" w:customStyle="1" w:styleId="38">
    <w:name w:val="my-class2"/>
    <w:basedOn w:val="14"/>
    <w:qFormat/>
    <w:uiPriority w:val="99"/>
  </w:style>
  <w:style w:type="character" w:customStyle="1" w:styleId="39">
    <w:name w:val="orange"/>
    <w:basedOn w:val="14"/>
    <w:qFormat/>
    <w:uiPriority w:val="99"/>
    <w:rPr>
      <w:color w:val="auto"/>
    </w:rPr>
  </w:style>
  <w:style w:type="character" w:customStyle="1" w:styleId="40">
    <w:name w:val="no42"/>
    <w:basedOn w:val="14"/>
    <w:qFormat/>
    <w:uiPriority w:val="99"/>
  </w:style>
  <w:style w:type="character" w:customStyle="1" w:styleId="41">
    <w:name w:val="bds_nopic2"/>
    <w:basedOn w:val="14"/>
    <w:qFormat/>
    <w:uiPriority w:val="99"/>
  </w:style>
  <w:style w:type="character" w:customStyle="1" w:styleId="42">
    <w:name w:val="no72"/>
    <w:basedOn w:val="14"/>
    <w:qFormat/>
    <w:uiPriority w:val="99"/>
  </w:style>
  <w:style w:type="character" w:customStyle="1" w:styleId="43">
    <w:name w:val="tip"/>
    <w:basedOn w:val="14"/>
    <w:qFormat/>
    <w:uiPriority w:val="99"/>
    <w:rPr>
      <w:vanish/>
      <w:color w:val="FF0000"/>
      <w:sz w:val="18"/>
      <w:szCs w:val="18"/>
    </w:rPr>
  </w:style>
  <w:style w:type="character" w:customStyle="1" w:styleId="44">
    <w:name w:val="bds_nopic1"/>
    <w:basedOn w:val="14"/>
    <w:qFormat/>
    <w:uiPriority w:val="99"/>
  </w:style>
  <w:style w:type="character" w:customStyle="1" w:styleId="45">
    <w:name w:val="no62"/>
    <w:basedOn w:val="14"/>
    <w:qFormat/>
    <w:uiPriority w:val="99"/>
  </w:style>
  <w:style w:type="character" w:customStyle="1" w:styleId="46">
    <w:name w:val="my-notice1"/>
    <w:basedOn w:val="14"/>
    <w:qFormat/>
    <w:uiPriority w:val="99"/>
  </w:style>
  <w:style w:type="character" w:customStyle="1" w:styleId="47">
    <w:name w:val="Comment Subject Char"/>
    <w:basedOn w:val="32"/>
    <w:qFormat/>
    <w:locked/>
    <w:uiPriority w:val="99"/>
    <w:rPr>
      <w:b/>
      <w:bCs/>
      <w:kern w:val="2"/>
      <w:sz w:val="24"/>
      <w:szCs w:val="24"/>
    </w:rPr>
  </w:style>
  <w:style w:type="character" w:customStyle="1" w:styleId="48">
    <w:name w:val="top-icon"/>
    <w:basedOn w:val="14"/>
    <w:qFormat/>
    <w:uiPriority w:val="99"/>
  </w:style>
  <w:style w:type="character" w:customStyle="1" w:styleId="49">
    <w:name w:val="t-tag"/>
    <w:basedOn w:val="14"/>
    <w:qFormat/>
    <w:uiPriority w:val="99"/>
    <w:rPr>
      <w:color w:val="FFFFFF"/>
      <w:sz w:val="18"/>
      <w:szCs w:val="18"/>
      <w:shd w:val="clear" w:color="auto" w:fill="auto"/>
    </w:rPr>
  </w:style>
  <w:style w:type="character" w:customStyle="1" w:styleId="50">
    <w:name w:val="Balloon Text Char"/>
    <w:basedOn w:val="14"/>
    <w:qFormat/>
    <w:locked/>
    <w:uiPriority w:val="99"/>
    <w:rPr>
      <w:kern w:val="2"/>
      <w:sz w:val="18"/>
      <w:szCs w:val="18"/>
    </w:rPr>
  </w:style>
  <w:style w:type="character" w:customStyle="1" w:styleId="51">
    <w:name w:val="批注框文本 Char"/>
    <w:basedOn w:val="14"/>
    <w:link w:val="8"/>
    <w:semiHidden/>
    <w:qFormat/>
    <w:uiPriority w:val="99"/>
    <w:rPr>
      <w:sz w:val="0"/>
      <w:szCs w:val="0"/>
    </w:rPr>
  </w:style>
  <w:style w:type="character" w:customStyle="1" w:styleId="52">
    <w:name w:val="页眉 Char"/>
    <w:basedOn w:val="14"/>
    <w:link w:val="10"/>
    <w:semiHidden/>
    <w:qFormat/>
    <w:uiPriority w:val="99"/>
    <w:rPr>
      <w:sz w:val="18"/>
      <w:szCs w:val="18"/>
    </w:rPr>
  </w:style>
  <w:style w:type="character" w:customStyle="1" w:styleId="53">
    <w:name w:val="批注文字 Char"/>
    <w:basedOn w:val="14"/>
    <w:link w:val="5"/>
    <w:semiHidden/>
    <w:qFormat/>
    <w:uiPriority w:val="99"/>
    <w:rPr>
      <w:szCs w:val="21"/>
    </w:rPr>
  </w:style>
  <w:style w:type="character" w:customStyle="1" w:styleId="54">
    <w:name w:val="批注主题 Char"/>
    <w:basedOn w:val="32"/>
    <w:link w:val="11"/>
    <w:semiHidden/>
    <w:qFormat/>
    <w:uiPriority w:val="99"/>
    <w:rPr>
      <w:b/>
      <w:bCs/>
      <w:kern w:val="2"/>
      <w:sz w:val="24"/>
      <w:szCs w:val="21"/>
    </w:rPr>
  </w:style>
  <w:style w:type="character" w:customStyle="1" w:styleId="55">
    <w:name w:val="页脚 Char"/>
    <w:basedOn w:val="14"/>
    <w:link w:val="9"/>
    <w:semiHidden/>
    <w:qFormat/>
    <w:uiPriority w:val="99"/>
    <w:rPr>
      <w:sz w:val="18"/>
      <w:szCs w:val="18"/>
    </w:rPr>
  </w:style>
  <w:style w:type="paragraph" w:customStyle="1" w:styleId="56">
    <w:name w:val="Char"/>
    <w:basedOn w:val="1"/>
    <w:qFormat/>
    <w:uiPriority w:val="99"/>
    <w:pPr>
      <w:widowControl/>
      <w:spacing w:after="160" w:line="240" w:lineRule="exact"/>
      <w:jc w:val="left"/>
    </w:pPr>
  </w:style>
  <w:style w:type="paragraph" w:customStyle="1" w:styleId="57">
    <w:name w:val="Char1"/>
    <w:basedOn w:val="1"/>
    <w:qFormat/>
    <w:uiPriority w:val="99"/>
    <w:pPr>
      <w:widowControl/>
      <w:spacing w:after="160" w:line="240" w:lineRule="exact"/>
      <w:jc w:val="left"/>
    </w:pPr>
  </w:style>
  <w:style w:type="paragraph" w:customStyle="1" w:styleId="58">
    <w:name w:val="Table Paragraph"/>
    <w:basedOn w:val="1"/>
    <w:qFormat/>
    <w:uiPriority w:val="1"/>
    <w:pPr>
      <w:jc w:val="left"/>
    </w:pPr>
    <w:rPr>
      <w:rFonts w:ascii="Calibri" w:hAnsi="Calibri"/>
      <w:kern w:val="0"/>
      <w:sz w:val="22"/>
      <w:szCs w:val="22"/>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2</Pages>
  <Words>662</Words>
  <Characters>729</Characters>
  <Lines>7</Lines>
  <Paragraphs>2</Paragraphs>
  <TotalTime>3</TotalTime>
  <ScaleCrop>false</ScaleCrop>
  <LinksUpToDate>false</LinksUpToDate>
  <CharactersWithSpaces>743</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2019-06-19T08:47:00Z</dcterms:created>
  <dc:creator>User</dc:creator>
  <cp:lastModifiedBy>我就是那棵树</cp:lastModifiedBy>
  <cp:lastPrinted>2019-01-25T07:39:00Z</cp:lastPrinted>
  <dcterms:modified xsi:type="dcterms:W3CDTF">2026-01-07T07:44:57Z</dcterms:modified>
  <dc:title>资料一：送审稿</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8FDF4ECFA87A42CDB5CC4A209386B5D2</vt:lpwstr>
  </property>
  <property fmtid="{D5CDD505-2E9C-101B-9397-08002B2CF9AE}" pid="4" name="KSOTemplateDocerSaveRecord">
    <vt:lpwstr>eyJoZGlkIjoiZmY3OGM5NzVlMDI2MThjMTlkZTdkNWY4MmRkZjhkNzkiLCJ1c2VySWQiOiIxMjcxNTQ1ODYifQ==</vt:lpwstr>
  </property>
</Properties>
</file>