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0E948">
      <w:pPr>
        <w:spacing w:line="440" w:lineRule="exact"/>
        <w:jc w:val="center"/>
        <w:rPr>
          <w:rFonts w:hint="default" w:ascii="Times New Roman" w:hAnsi="Times New Roman" w:eastAsia="黑体" w:cs="Times New Roman"/>
          <w:color w:val="000000" w:themeColor="text1"/>
          <w:sz w:val="32"/>
          <w:szCs w:val="32"/>
          <w14:textFill>
            <w14:solidFill>
              <w14:schemeClr w14:val="tx1"/>
            </w14:solidFill>
          </w14:textFill>
        </w:rPr>
      </w:pPr>
      <w:r>
        <w:rPr>
          <w:rFonts w:hint="default" w:ascii="Times New Roman" w:hAnsi="Times New Roman" w:eastAsia="黑体" w:cs="Times New Roman"/>
          <w:color w:val="000000" w:themeColor="text1"/>
          <w:sz w:val="32"/>
          <w:szCs w:val="32"/>
          <w14:textFill>
            <w14:solidFill>
              <w14:schemeClr w14:val="tx1"/>
            </w14:solidFill>
          </w14:textFill>
        </w:rPr>
        <w:t>202</w:t>
      </w:r>
      <w:r>
        <w:rPr>
          <w:rFonts w:hint="default" w:ascii="Times New Roman" w:hAnsi="Times New Roman" w:eastAsia="黑体" w:cs="Times New Roman"/>
          <w:color w:val="000000" w:themeColor="text1"/>
          <w:sz w:val="32"/>
          <w:szCs w:val="32"/>
          <w:lang w:val="en-US" w:eastAsia="zh-CN"/>
          <w14:textFill>
            <w14:solidFill>
              <w14:schemeClr w14:val="tx1"/>
            </w14:solidFill>
          </w14:textFill>
        </w:rPr>
        <w:t>6</w:t>
      </w:r>
      <w:r>
        <w:rPr>
          <w:rFonts w:hint="default" w:ascii="Times New Roman" w:hAnsi="Times New Roman" w:eastAsia="黑体" w:cs="Times New Roman"/>
          <w:color w:val="000000" w:themeColor="text1"/>
          <w:sz w:val="32"/>
          <w:szCs w:val="32"/>
          <w14:textFill>
            <w14:solidFill>
              <w14:schemeClr w14:val="tx1"/>
            </w14:solidFill>
          </w14:textFill>
        </w:rPr>
        <w:t>年六安市消防应急照明和疏散指示系统产品质量监督抽查实施细则</w:t>
      </w:r>
    </w:p>
    <w:p w14:paraId="79D7E9B5">
      <w:pPr>
        <w:spacing w:line="440" w:lineRule="exact"/>
        <w:jc w:val="center"/>
        <w:rPr>
          <w:rFonts w:hint="default" w:ascii="Times New Roman" w:hAnsi="Times New Roman" w:eastAsia="黑体" w:cs="Times New Roman"/>
          <w:color w:val="000000" w:themeColor="text1"/>
          <w:sz w:val="32"/>
          <w:szCs w:val="32"/>
          <w14:textFill>
            <w14:solidFill>
              <w14:schemeClr w14:val="tx1"/>
            </w14:solidFill>
          </w14:textFill>
        </w:rPr>
      </w:pPr>
    </w:p>
    <w:p w14:paraId="22BD8598">
      <w:pPr>
        <w:spacing w:line="400" w:lineRule="exact"/>
        <w:rPr>
          <w:rFonts w:hint="default" w:ascii="Times New Roman" w:hAnsi="Times New Roman" w:cs="Times New Roman"/>
          <w:b/>
        </w:rPr>
      </w:pPr>
      <w:r>
        <w:rPr>
          <w:rFonts w:hint="default" w:ascii="Times New Roman" w:hAnsi="Times New Roman" w:cs="Times New Roman"/>
          <w:b/>
        </w:rPr>
        <w:t>1 范围</w:t>
      </w:r>
    </w:p>
    <w:p w14:paraId="35A2F088">
      <w:pPr>
        <w:spacing w:line="400" w:lineRule="exact"/>
        <w:ind w:firstLine="420" w:firstLineChars="200"/>
        <w:rPr>
          <w:rFonts w:hint="default" w:ascii="Times New Roman" w:hAnsi="Times New Roman" w:cs="Times New Roman"/>
        </w:rPr>
      </w:pPr>
      <w:r>
        <w:rPr>
          <w:rFonts w:hint="default" w:ascii="Times New Roman" w:hAnsi="Times New Roman" w:cs="Times New Roman"/>
        </w:rPr>
        <w:t>本细则适用于六安市市场监督管理局组织的消防应急照明和疏散指示系统产品质量监督抽查。</w:t>
      </w:r>
    </w:p>
    <w:p w14:paraId="1115280C">
      <w:pPr>
        <w:spacing w:line="440" w:lineRule="exact"/>
        <w:jc w:val="center"/>
        <w:rPr>
          <w:rFonts w:hint="default" w:ascii="Times New Roman" w:hAnsi="Times New Roman" w:eastAsia="黑体" w:cs="Times New Roman"/>
          <w:color w:val="000000" w:themeColor="text1"/>
          <w:sz w:val="32"/>
          <w:szCs w:val="32"/>
          <w14:textFill>
            <w14:solidFill>
              <w14:schemeClr w14:val="tx1"/>
            </w14:solidFill>
          </w14:textFill>
        </w:rPr>
      </w:pPr>
    </w:p>
    <w:p w14:paraId="47A710A9">
      <w:pPr>
        <w:snapToGrid w:val="0"/>
        <w:spacing w:line="440" w:lineRule="exact"/>
        <w:rPr>
          <w:rFonts w:hint="default" w:ascii="Times New Roman" w:hAnsi="Times New Roman" w:cs="Times New Roman"/>
          <w:b/>
        </w:rPr>
      </w:pPr>
      <w:r>
        <w:rPr>
          <w:rFonts w:hint="default" w:ascii="Times New Roman" w:hAnsi="Times New Roman" w:cs="Times New Roman"/>
          <w:b/>
        </w:rPr>
        <w:t>2 抽样方法</w:t>
      </w:r>
    </w:p>
    <w:p w14:paraId="7D6F8A29">
      <w:pPr>
        <w:adjustRightInd w:val="0"/>
        <w:snapToGrid w:val="0"/>
        <w:spacing w:line="440" w:lineRule="exact"/>
        <w:ind w:firstLine="420" w:firstLineChars="200"/>
        <w:rPr>
          <w:rFonts w:hint="default" w:ascii="Times New Roman" w:hAnsi="Times New Roman" w:cs="Times New Roman"/>
          <w:b/>
        </w:rPr>
      </w:pPr>
      <w:r>
        <w:rPr>
          <w:rFonts w:hint="default" w:ascii="Times New Roman" w:hAnsi="Times New Roman" w:cs="Times New Roman"/>
          <w:color w:val="000000"/>
        </w:rPr>
        <w:t>抽取样品应为同一型号规格的产品。</w:t>
      </w:r>
    </w:p>
    <w:p w14:paraId="48144912">
      <w:pPr>
        <w:snapToGrid w:val="0"/>
        <w:spacing w:line="440" w:lineRule="exact"/>
        <w:ind w:firstLine="420" w:firstLineChars="200"/>
        <w:rPr>
          <w:rFonts w:hint="default" w:ascii="Times New Roman" w:hAnsi="Times New Roman" w:cs="Times New Roman"/>
          <w:color w:val="000000"/>
        </w:rPr>
      </w:pPr>
      <w:r>
        <w:rPr>
          <w:rFonts w:hint="default" w:ascii="Times New Roman" w:hAnsi="Times New Roman" w:cs="Times New Roman"/>
          <w:color w:val="000000"/>
        </w:rPr>
        <w:t>以随机抽样的方式在被抽样生产者、销售者的待销产品中抽取。</w:t>
      </w:r>
    </w:p>
    <w:p w14:paraId="032E1533">
      <w:pPr>
        <w:snapToGrid w:val="0"/>
        <w:spacing w:line="440" w:lineRule="exact"/>
        <w:ind w:firstLine="420" w:firstLineChars="200"/>
        <w:rPr>
          <w:rFonts w:hint="default" w:ascii="Times New Roman" w:hAnsi="Times New Roman" w:cs="Times New Roman"/>
          <w:color w:val="000000"/>
        </w:rPr>
      </w:pPr>
      <w:r>
        <w:rPr>
          <w:rFonts w:hint="default" w:ascii="Times New Roman" w:hAnsi="Times New Roman" w:cs="Times New Roman"/>
          <w:color w:val="000000"/>
        </w:rPr>
        <w:t>随机数一般可使用随机数表等方法产生。</w:t>
      </w:r>
    </w:p>
    <w:p w14:paraId="416B5555">
      <w:pPr>
        <w:adjustRightInd w:val="0"/>
        <w:snapToGrid w:val="0"/>
        <w:spacing w:line="440" w:lineRule="exact"/>
        <w:ind w:firstLine="420" w:firstLineChars="200"/>
        <w:rPr>
          <w:rFonts w:hint="default" w:ascii="Times New Roman" w:hAnsi="Times New Roman" w:cs="Times New Roman"/>
          <w:color w:val="000000"/>
        </w:rPr>
      </w:pPr>
      <w:r>
        <w:rPr>
          <w:rFonts w:hint="default" w:ascii="Times New Roman" w:hAnsi="Times New Roman" w:cs="Times New Roman"/>
          <w:color w:val="000000"/>
        </w:rPr>
        <w:t>每批次产品抽取样品4只，其中2只作为检验样品，2只作为备用样品。</w:t>
      </w:r>
    </w:p>
    <w:p w14:paraId="6791EA2A">
      <w:pPr>
        <w:adjustRightInd w:val="0"/>
        <w:snapToGrid w:val="0"/>
        <w:spacing w:line="440" w:lineRule="exact"/>
        <w:ind w:firstLine="420" w:firstLineChars="200"/>
        <w:rPr>
          <w:rFonts w:hint="default" w:ascii="Times New Roman" w:hAnsi="Times New Roman" w:cs="Times New Roman"/>
          <w:color w:val="000000"/>
        </w:rPr>
      </w:pPr>
    </w:p>
    <w:p w14:paraId="10278A3C">
      <w:pPr>
        <w:spacing w:line="400" w:lineRule="exact"/>
        <w:rPr>
          <w:rFonts w:hint="default" w:ascii="Times New Roman" w:hAnsi="Times New Roman" w:cs="Times New Roman"/>
          <w:b/>
        </w:rPr>
      </w:pPr>
      <w:r>
        <w:rPr>
          <w:rFonts w:hint="default" w:ascii="Times New Roman" w:hAnsi="Times New Roman" w:cs="Times New Roman"/>
          <w:b/>
        </w:rPr>
        <w:t>3 检验依据</w:t>
      </w:r>
    </w:p>
    <w:p w14:paraId="21D33D2B">
      <w:pPr>
        <w:snapToGrid w:val="0"/>
        <w:spacing w:line="440" w:lineRule="exact"/>
        <w:jc w:val="center"/>
        <w:rPr>
          <w:rFonts w:hint="default" w:ascii="Times New Roman" w:hAnsi="Times New Roman" w:cs="Times New Roman" w:eastAsiaTheme="minorEastAsia"/>
          <w:color w:val="000000" w:themeColor="text1"/>
          <w:szCs w:val="21"/>
          <w:lang w:val="en-US" w:eastAsia="zh-CN"/>
          <w14:textFill>
            <w14:solidFill>
              <w14:schemeClr w14:val="tx1"/>
            </w14:solidFill>
          </w14:textFill>
        </w:rPr>
      </w:pPr>
      <w:bookmarkStart w:id="0" w:name="_Hlk40347690"/>
      <w:r>
        <w:rPr>
          <w:rFonts w:hint="default" w:ascii="Times New Roman" w:hAnsi="Times New Roman" w:cs="Times New Roman" w:eastAsiaTheme="minorEastAsia"/>
          <w:color w:val="000000" w:themeColor="text1"/>
          <w:szCs w:val="21"/>
          <w:lang w:eastAsia="zh-CN"/>
          <w14:textFill>
            <w14:solidFill>
              <w14:schemeClr w14:val="tx1"/>
            </w14:solidFill>
          </w14:textFill>
        </w:rPr>
        <w:t>表</w:t>
      </w:r>
      <w:r>
        <w:rPr>
          <w:rFonts w:hint="default" w:ascii="Times New Roman" w:hAnsi="Times New Roman" w:cs="Times New Roman" w:eastAsiaTheme="minorEastAsia"/>
          <w:color w:val="000000" w:themeColor="text1"/>
          <w:szCs w:val="21"/>
          <w:lang w:val="en-US" w:eastAsia="zh-CN"/>
          <w14:textFill>
            <w14:solidFill>
              <w14:schemeClr w14:val="tx1"/>
            </w14:solidFill>
          </w14:textFill>
        </w:rPr>
        <w:t>1（适用于生产日期为2025年05月01日之前的产品）</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0"/>
        <w:gridCol w:w="1947"/>
        <w:gridCol w:w="2760"/>
        <w:gridCol w:w="3644"/>
      </w:tblGrid>
      <w:tr w14:paraId="002ED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80" w:type="dxa"/>
            <w:noWrap w:val="0"/>
            <w:vAlign w:val="top"/>
          </w:tcPr>
          <w:p w14:paraId="3452FC57">
            <w:pPr>
              <w:snapToGrid w:val="0"/>
              <w:spacing w:line="300" w:lineRule="exact"/>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序号</w:t>
            </w:r>
          </w:p>
        </w:tc>
        <w:tc>
          <w:tcPr>
            <w:tcW w:w="4707" w:type="dxa"/>
            <w:gridSpan w:val="2"/>
            <w:noWrap w:val="0"/>
            <w:vAlign w:val="top"/>
          </w:tcPr>
          <w:p w14:paraId="411482CD">
            <w:pPr>
              <w:snapToGrid w:val="0"/>
              <w:spacing w:line="300" w:lineRule="exact"/>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检验项目</w:t>
            </w:r>
          </w:p>
        </w:tc>
        <w:tc>
          <w:tcPr>
            <w:tcW w:w="3644" w:type="dxa"/>
            <w:noWrap w:val="0"/>
            <w:vAlign w:val="top"/>
          </w:tcPr>
          <w:p w14:paraId="27601C71">
            <w:pPr>
              <w:snapToGrid w:val="0"/>
              <w:spacing w:line="300" w:lineRule="exact"/>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检验方法</w:t>
            </w:r>
          </w:p>
        </w:tc>
      </w:tr>
      <w:tr w14:paraId="52270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 w:hRule="atLeast"/>
          <w:jc w:val="center"/>
        </w:trPr>
        <w:tc>
          <w:tcPr>
            <w:tcW w:w="780" w:type="dxa"/>
            <w:vMerge w:val="restart"/>
            <w:noWrap w:val="0"/>
            <w:vAlign w:val="center"/>
          </w:tcPr>
          <w:p w14:paraId="74F7EF74">
            <w:pPr>
              <w:snapToGrid w:val="0"/>
              <w:spacing w:line="300" w:lineRule="exact"/>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1</w:t>
            </w:r>
          </w:p>
        </w:tc>
        <w:tc>
          <w:tcPr>
            <w:tcW w:w="1947" w:type="dxa"/>
            <w:vMerge w:val="restart"/>
            <w:noWrap w:val="0"/>
            <w:vAlign w:val="center"/>
          </w:tcPr>
          <w:p w14:paraId="73843DF2">
            <w:pPr>
              <w:spacing w:line="300" w:lineRule="exact"/>
              <w:jc w:val="center"/>
              <w:rPr>
                <w:rFonts w:hint="default" w:ascii="Times New Roman" w:hAnsi="Times New Roman" w:cs="Times New Roman" w:eastAsiaTheme="minorEastAsia"/>
                <w:highlight w:val="none"/>
              </w:rPr>
            </w:pPr>
            <w:r>
              <w:rPr>
                <w:rFonts w:hint="default" w:ascii="Times New Roman" w:hAnsi="Times New Roman" w:cs="Times New Roman" w:eastAsiaTheme="minorEastAsia"/>
                <w:highlight w:val="none"/>
              </w:rPr>
              <w:t>基本功能试验</w:t>
            </w:r>
          </w:p>
        </w:tc>
        <w:tc>
          <w:tcPr>
            <w:tcW w:w="2760" w:type="dxa"/>
            <w:noWrap w:val="0"/>
            <w:vAlign w:val="center"/>
          </w:tcPr>
          <w:p w14:paraId="0D950DC5">
            <w:pPr>
              <w:spacing w:line="300" w:lineRule="exact"/>
              <w:jc w:val="center"/>
              <w:rPr>
                <w:rFonts w:hint="default" w:ascii="Times New Roman" w:hAnsi="Times New Roman" w:cs="Times New Roman" w:eastAsiaTheme="minorEastAsia"/>
                <w:highlight w:val="none"/>
              </w:rPr>
            </w:pPr>
            <w:r>
              <w:rPr>
                <w:rFonts w:hint="default" w:ascii="Times New Roman" w:hAnsi="Times New Roman" w:cs="Times New Roman" w:eastAsiaTheme="minorEastAsia"/>
                <w:highlight w:val="none"/>
              </w:rPr>
              <w:t>表面亮度（适用时）</w:t>
            </w:r>
          </w:p>
        </w:tc>
        <w:tc>
          <w:tcPr>
            <w:tcW w:w="3644" w:type="dxa"/>
            <w:vMerge w:val="restart"/>
            <w:noWrap w:val="0"/>
            <w:vAlign w:val="center"/>
          </w:tcPr>
          <w:p w14:paraId="340770C5">
            <w:pPr>
              <w:snapToGrid w:val="0"/>
              <w:spacing w:line="300" w:lineRule="exact"/>
              <w:jc w:val="center"/>
              <w:rPr>
                <w:rFonts w:hint="default" w:ascii="Times New Roman" w:hAnsi="Times New Roman" w:cs="Times New Roman" w:eastAsiaTheme="minorEastAsia"/>
              </w:rPr>
            </w:pPr>
            <w:r>
              <w:rPr>
                <w:rFonts w:hint="default" w:ascii="Times New Roman" w:hAnsi="Times New Roman" w:cs="Times New Roman" w:eastAsiaTheme="minorEastAsia"/>
              </w:rPr>
              <w:t>GB 17945—2010</w:t>
            </w:r>
          </w:p>
        </w:tc>
      </w:tr>
      <w:tr w14:paraId="4C8D9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jc w:val="center"/>
        </w:trPr>
        <w:tc>
          <w:tcPr>
            <w:tcW w:w="780" w:type="dxa"/>
            <w:vMerge w:val="continue"/>
            <w:noWrap w:val="0"/>
            <w:vAlign w:val="center"/>
          </w:tcPr>
          <w:p w14:paraId="67D409D3">
            <w:pPr>
              <w:snapToGrid w:val="0"/>
              <w:spacing w:line="300" w:lineRule="exact"/>
              <w:jc w:val="center"/>
              <w:rPr>
                <w:rFonts w:hint="default" w:ascii="Times New Roman" w:hAnsi="Times New Roman" w:cs="Times New Roman" w:eastAsiaTheme="minorEastAsia"/>
                <w:szCs w:val="21"/>
              </w:rPr>
            </w:pPr>
          </w:p>
        </w:tc>
        <w:tc>
          <w:tcPr>
            <w:tcW w:w="1947" w:type="dxa"/>
            <w:vMerge w:val="continue"/>
            <w:noWrap w:val="0"/>
            <w:vAlign w:val="center"/>
          </w:tcPr>
          <w:p w14:paraId="3E30BF43">
            <w:pPr>
              <w:spacing w:line="300" w:lineRule="exact"/>
              <w:jc w:val="center"/>
              <w:rPr>
                <w:rFonts w:hint="default" w:ascii="Times New Roman" w:hAnsi="Times New Roman" w:cs="Times New Roman" w:eastAsiaTheme="minorEastAsia"/>
                <w:highlight w:val="none"/>
              </w:rPr>
            </w:pPr>
          </w:p>
        </w:tc>
        <w:tc>
          <w:tcPr>
            <w:tcW w:w="2760" w:type="dxa"/>
            <w:noWrap w:val="0"/>
            <w:vAlign w:val="center"/>
          </w:tcPr>
          <w:p w14:paraId="0F14E591">
            <w:pPr>
              <w:spacing w:line="300" w:lineRule="exact"/>
              <w:jc w:val="center"/>
              <w:rPr>
                <w:rFonts w:hint="default" w:ascii="Times New Roman" w:hAnsi="Times New Roman" w:cs="Times New Roman" w:eastAsiaTheme="minorEastAsia"/>
                <w:highlight w:val="none"/>
              </w:rPr>
            </w:pPr>
            <w:r>
              <w:rPr>
                <w:rFonts w:hint="default" w:ascii="Times New Roman" w:hAnsi="Times New Roman" w:cs="Times New Roman" w:eastAsiaTheme="minorEastAsia"/>
                <w:highlight w:val="none"/>
              </w:rPr>
              <w:t>应急状态光通量（适用时）</w:t>
            </w:r>
          </w:p>
        </w:tc>
        <w:tc>
          <w:tcPr>
            <w:tcW w:w="3644" w:type="dxa"/>
            <w:vMerge w:val="continue"/>
            <w:noWrap w:val="0"/>
            <w:vAlign w:val="center"/>
          </w:tcPr>
          <w:p w14:paraId="580B7A67">
            <w:pPr>
              <w:snapToGrid w:val="0"/>
              <w:spacing w:line="300" w:lineRule="exact"/>
              <w:jc w:val="center"/>
              <w:rPr>
                <w:rFonts w:hint="default" w:ascii="Times New Roman" w:hAnsi="Times New Roman" w:cs="Times New Roman" w:eastAsiaTheme="minorEastAsia"/>
              </w:rPr>
            </w:pPr>
          </w:p>
        </w:tc>
      </w:tr>
      <w:tr w14:paraId="4856F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 w:hRule="atLeast"/>
          <w:jc w:val="center"/>
        </w:trPr>
        <w:tc>
          <w:tcPr>
            <w:tcW w:w="780" w:type="dxa"/>
            <w:vMerge w:val="continue"/>
            <w:noWrap w:val="0"/>
            <w:vAlign w:val="center"/>
          </w:tcPr>
          <w:p w14:paraId="4169F48B">
            <w:pPr>
              <w:snapToGrid w:val="0"/>
              <w:spacing w:line="300" w:lineRule="exact"/>
              <w:jc w:val="center"/>
              <w:rPr>
                <w:rFonts w:hint="default" w:ascii="Times New Roman" w:hAnsi="Times New Roman" w:cs="Times New Roman" w:eastAsiaTheme="minorEastAsia"/>
                <w:szCs w:val="21"/>
              </w:rPr>
            </w:pPr>
          </w:p>
        </w:tc>
        <w:tc>
          <w:tcPr>
            <w:tcW w:w="1947" w:type="dxa"/>
            <w:vMerge w:val="continue"/>
            <w:noWrap w:val="0"/>
            <w:vAlign w:val="center"/>
          </w:tcPr>
          <w:p w14:paraId="7D9ECA91">
            <w:pPr>
              <w:spacing w:line="300" w:lineRule="exact"/>
              <w:jc w:val="center"/>
              <w:rPr>
                <w:rFonts w:hint="default" w:ascii="Times New Roman" w:hAnsi="Times New Roman" w:cs="Times New Roman" w:eastAsiaTheme="minorEastAsia"/>
                <w:highlight w:val="none"/>
              </w:rPr>
            </w:pPr>
          </w:p>
        </w:tc>
        <w:tc>
          <w:tcPr>
            <w:tcW w:w="2760" w:type="dxa"/>
            <w:noWrap w:val="0"/>
            <w:vAlign w:val="center"/>
          </w:tcPr>
          <w:p w14:paraId="4A1E3C06">
            <w:pPr>
              <w:spacing w:line="300" w:lineRule="exact"/>
              <w:jc w:val="center"/>
              <w:rPr>
                <w:rFonts w:hint="default" w:ascii="Times New Roman" w:hAnsi="Times New Roman" w:cs="Times New Roman" w:eastAsiaTheme="minorEastAsia"/>
                <w:highlight w:val="none"/>
              </w:rPr>
            </w:pPr>
            <w:r>
              <w:rPr>
                <w:rFonts w:hint="default" w:ascii="Times New Roman" w:hAnsi="Times New Roman" w:cs="Times New Roman" w:eastAsiaTheme="minorEastAsia"/>
                <w:highlight w:val="none"/>
              </w:rPr>
              <w:t>应急工作时间</w:t>
            </w:r>
          </w:p>
        </w:tc>
        <w:tc>
          <w:tcPr>
            <w:tcW w:w="3644" w:type="dxa"/>
            <w:vMerge w:val="continue"/>
            <w:noWrap w:val="0"/>
            <w:vAlign w:val="center"/>
          </w:tcPr>
          <w:p w14:paraId="0E756D75">
            <w:pPr>
              <w:snapToGrid w:val="0"/>
              <w:spacing w:line="300" w:lineRule="exact"/>
              <w:jc w:val="center"/>
              <w:rPr>
                <w:rFonts w:hint="default" w:ascii="Times New Roman" w:hAnsi="Times New Roman" w:cs="Times New Roman" w:eastAsiaTheme="minorEastAsia"/>
              </w:rPr>
            </w:pPr>
          </w:p>
        </w:tc>
      </w:tr>
      <w:tr w14:paraId="71FE3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780" w:type="dxa"/>
            <w:noWrap w:val="0"/>
            <w:vAlign w:val="center"/>
          </w:tcPr>
          <w:p w14:paraId="44D3B1E6">
            <w:pPr>
              <w:snapToGrid w:val="0"/>
              <w:spacing w:line="300" w:lineRule="exact"/>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2</w:t>
            </w:r>
          </w:p>
        </w:tc>
        <w:tc>
          <w:tcPr>
            <w:tcW w:w="4707" w:type="dxa"/>
            <w:gridSpan w:val="2"/>
            <w:noWrap w:val="0"/>
            <w:vAlign w:val="center"/>
          </w:tcPr>
          <w:p w14:paraId="69C41E82">
            <w:pPr>
              <w:spacing w:line="300" w:lineRule="exact"/>
              <w:jc w:val="center"/>
              <w:rPr>
                <w:rFonts w:hint="default" w:ascii="Times New Roman" w:hAnsi="Times New Roman" w:cs="Times New Roman" w:eastAsiaTheme="minorEastAsia"/>
              </w:rPr>
            </w:pPr>
            <w:r>
              <w:rPr>
                <w:rFonts w:hint="default" w:ascii="Times New Roman" w:hAnsi="Times New Roman" w:cs="Times New Roman" w:eastAsiaTheme="minorEastAsia"/>
                <w:color w:val="000000"/>
                <w:szCs w:val="21"/>
              </w:rPr>
              <w:t>充、放电试验</w:t>
            </w:r>
          </w:p>
        </w:tc>
        <w:tc>
          <w:tcPr>
            <w:tcW w:w="3644" w:type="dxa"/>
            <w:noWrap w:val="0"/>
            <w:vAlign w:val="center"/>
          </w:tcPr>
          <w:p w14:paraId="7ECA5D4D">
            <w:pPr>
              <w:snapToGrid w:val="0"/>
              <w:spacing w:line="300" w:lineRule="exact"/>
              <w:jc w:val="center"/>
              <w:rPr>
                <w:rFonts w:hint="default" w:ascii="Times New Roman" w:hAnsi="Times New Roman" w:cs="Times New Roman" w:eastAsiaTheme="minorEastAsia"/>
              </w:rPr>
            </w:pPr>
            <w:r>
              <w:rPr>
                <w:rFonts w:hint="default" w:ascii="Times New Roman" w:hAnsi="Times New Roman" w:cs="Times New Roman" w:eastAsiaTheme="minorEastAsia"/>
              </w:rPr>
              <w:t>GB 17945—2010</w:t>
            </w:r>
          </w:p>
        </w:tc>
      </w:tr>
      <w:tr w14:paraId="4047A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780" w:type="dxa"/>
            <w:noWrap w:val="0"/>
            <w:vAlign w:val="center"/>
          </w:tcPr>
          <w:p w14:paraId="12294AAC">
            <w:pPr>
              <w:snapToGrid w:val="0"/>
              <w:spacing w:line="300" w:lineRule="exact"/>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3</w:t>
            </w:r>
          </w:p>
        </w:tc>
        <w:tc>
          <w:tcPr>
            <w:tcW w:w="4707" w:type="dxa"/>
            <w:gridSpan w:val="2"/>
            <w:noWrap w:val="0"/>
            <w:vAlign w:val="center"/>
          </w:tcPr>
          <w:p w14:paraId="35E3DE44">
            <w:pPr>
              <w:spacing w:line="300" w:lineRule="exact"/>
              <w:jc w:val="center"/>
              <w:rPr>
                <w:rFonts w:hint="default" w:ascii="Times New Roman" w:hAnsi="Times New Roman" w:cs="Times New Roman" w:eastAsiaTheme="minorEastAsia"/>
              </w:rPr>
            </w:pPr>
            <w:r>
              <w:rPr>
                <w:rFonts w:hint="default" w:ascii="Times New Roman" w:hAnsi="Times New Roman" w:cs="Times New Roman" w:eastAsiaTheme="minorEastAsia"/>
                <w:color w:val="000000"/>
                <w:szCs w:val="21"/>
              </w:rPr>
              <w:t>转换电压试验</w:t>
            </w:r>
          </w:p>
        </w:tc>
        <w:tc>
          <w:tcPr>
            <w:tcW w:w="3644" w:type="dxa"/>
            <w:noWrap w:val="0"/>
            <w:vAlign w:val="center"/>
          </w:tcPr>
          <w:p w14:paraId="5F85D58B">
            <w:pPr>
              <w:snapToGrid w:val="0"/>
              <w:spacing w:line="300" w:lineRule="exact"/>
              <w:jc w:val="center"/>
              <w:rPr>
                <w:rFonts w:hint="default" w:ascii="Times New Roman" w:hAnsi="Times New Roman" w:cs="Times New Roman" w:eastAsiaTheme="minorEastAsia"/>
              </w:rPr>
            </w:pPr>
            <w:r>
              <w:rPr>
                <w:rFonts w:hint="default" w:ascii="Times New Roman" w:hAnsi="Times New Roman" w:cs="Times New Roman" w:eastAsiaTheme="minorEastAsia"/>
              </w:rPr>
              <w:t>GB 17945—2010</w:t>
            </w:r>
          </w:p>
        </w:tc>
      </w:tr>
      <w:tr w14:paraId="571B0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780" w:type="dxa"/>
            <w:noWrap w:val="0"/>
            <w:vAlign w:val="center"/>
          </w:tcPr>
          <w:p w14:paraId="5129A91B">
            <w:pPr>
              <w:snapToGrid w:val="0"/>
              <w:spacing w:line="300" w:lineRule="exact"/>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4</w:t>
            </w:r>
          </w:p>
        </w:tc>
        <w:tc>
          <w:tcPr>
            <w:tcW w:w="4707" w:type="dxa"/>
            <w:gridSpan w:val="2"/>
            <w:noWrap w:val="0"/>
            <w:vAlign w:val="center"/>
          </w:tcPr>
          <w:p w14:paraId="713BBA09">
            <w:pPr>
              <w:spacing w:line="300" w:lineRule="exact"/>
              <w:jc w:val="center"/>
              <w:rPr>
                <w:rFonts w:hint="default" w:ascii="Times New Roman" w:hAnsi="Times New Roman" w:cs="Times New Roman" w:eastAsiaTheme="minorEastAsia"/>
                <w:highlight w:val="none"/>
              </w:rPr>
            </w:pPr>
            <w:r>
              <w:rPr>
                <w:rFonts w:hint="default" w:ascii="Times New Roman" w:hAnsi="Times New Roman" w:cs="Times New Roman" w:eastAsiaTheme="minorEastAsia"/>
                <w:color w:val="000000"/>
                <w:szCs w:val="21"/>
                <w:highlight w:val="none"/>
              </w:rPr>
              <w:t>充、放电耐久试验</w:t>
            </w:r>
          </w:p>
        </w:tc>
        <w:tc>
          <w:tcPr>
            <w:tcW w:w="3644" w:type="dxa"/>
            <w:noWrap w:val="0"/>
            <w:vAlign w:val="center"/>
          </w:tcPr>
          <w:p w14:paraId="65BA49DB">
            <w:pPr>
              <w:snapToGrid w:val="0"/>
              <w:spacing w:line="300" w:lineRule="exact"/>
              <w:jc w:val="center"/>
              <w:rPr>
                <w:rFonts w:hint="default" w:ascii="Times New Roman" w:hAnsi="Times New Roman" w:cs="Times New Roman" w:eastAsiaTheme="minorEastAsia"/>
              </w:rPr>
            </w:pPr>
            <w:r>
              <w:rPr>
                <w:rFonts w:hint="default" w:ascii="Times New Roman" w:hAnsi="Times New Roman" w:cs="Times New Roman" w:eastAsiaTheme="minorEastAsia"/>
              </w:rPr>
              <w:t>GB 17945—2010</w:t>
            </w:r>
          </w:p>
        </w:tc>
      </w:tr>
      <w:tr w14:paraId="50F45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780" w:type="dxa"/>
            <w:noWrap w:val="0"/>
            <w:vAlign w:val="center"/>
          </w:tcPr>
          <w:p w14:paraId="038CAFC3">
            <w:pPr>
              <w:snapToGrid w:val="0"/>
              <w:spacing w:line="300" w:lineRule="exact"/>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5</w:t>
            </w:r>
          </w:p>
        </w:tc>
        <w:tc>
          <w:tcPr>
            <w:tcW w:w="4707" w:type="dxa"/>
            <w:gridSpan w:val="2"/>
            <w:noWrap w:val="0"/>
            <w:vAlign w:val="center"/>
          </w:tcPr>
          <w:p w14:paraId="547F6902">
            <w:pPr>
              <w:spacing w:line="300" w:lineRule="exact"/>
              <w:jc w:val="center"/>
              <w:rPr>
                <w:rFonts w:hint="default" w:ascii="Times New Roman" w:hAnsi="Times New Roman" w:cs="Times New Roman" w:eastAsiaTheme="minorEastAsia"/>
                <w:color w:val="000000"/>
                <w:szCs w:val="21"/>
              </w:rPr>
            </w:pPr>
            <w:r>
              <w:rPr>
                <w:rFonts w:hint="default" w:ascii="Times New Roman" w:hAnsi="Times New Roman" w:cs="Times New Roman" w:eastAsiaTheme="minorEastAsia"/>
                <w:color w:val="000000"/>
                <w:szCs w:val="21"/>
              </w:rPr>
              <w:t>接地电阻试验</w:t>
            </w:r>
          </w:p>
        </w:tc>
        <w:tc>
          <w:tcPr>
            <w:tcW w:w="3644" w:type="dxa"/>
            <w:noWrap w:val="0"/>
            <w:vAlign w:val="center"/>
          </w:tcPr>
          <w:p w14:paraId="2F073E90">
            <w:pPr>
              <w:snapToGrid w:val="0"/>
              <w:spacing w:line="300" w:lineRule="exact"/>
              <w:jc w:val="center"/>
              <w:rPr>
                <w:rFonts w:hint="default" w:ascii="Times New Roman" w:hAnsi="Times New Roman" w:cs="Times New Roman" w:eastAsiaTheme="minorEastAsia"/>
              </w:rPr>
            </w:pPr>
            <w:r>
              <w:rPr>
                <w:rFonts w:hint="default" w:ascii="Times New Roman" w:hAnsi="Times New Roman" w:cs="Times New Roman" w:eastAsiaTheme="minorEastAsia"/>
              </w:rPr>
              <w:t>GB 17945—2010</w:t>
            </w:r>
          </w:p>
        </w:tc>
      </w:tr>
      <w:tr w14:paraId="4431D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780" w:type="dxa"/>
            <w:noWrap w:val="0"/>
            <w:vAlign w:val="center"/>
          </w:tcPr>
          <w:p w14:paraId="2F616E53">
            <w:pPr>
              <w:snapToGrid w:val="0"/>
              <w:spacing w:line="300" w:lineRule="exact"/>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6</w:t>
            </w:r>
          </w:p>
        </w:tc>
        <w:tc>
          <w:tcPr>
            <w:tcW w:w="4707" w:type="dxa"/>
            <w:gridSpan w:val="2"/>
            <w:noWrap w:val="0"/>
            <w:vAlign w:val="center"/>
          </w:tcPr>
          <w:p w14:paraId="0955D90D">
            <w:pPr>
              <w:spacing w:line="300" w:lineRule="exact"/>
              <w:jc w:val="center"/>
              <w:rPr>
                <w:rFonts w:hint="default" w:ascii="Times New Roman" w:hAnsi="Times New Roman" w:cs="Times New Roman" w:eastAsiaTheme="minorEastAsia"/>
                <w:color w:val="000000"/>
                <w:szCs w:val="21"/>
              </w:rPr>
            </w:pPr>
            <w:r>
              <w:rPr>
                <w:rFonts w:hint="default" w:ascii="Times New Roman" w:hAnsi="Times New Roman" w:cs="Times New Roman" w:eastAsiaTheme="minorEastAsia"/>
                <w:color w:val="000000"/>
                <w:szCs w:val="21"/>
              </w:rPr>
              <w:t>耐压试验</w:t>
            </w:r>
          </w:p>
        </w:tc>
        <w:tc>
          <w:tcPr>
            <w:tcW w:w="3644" w:type="dxa"/>
            <w:noWrap w:val="0"/>
            <w:vAlign w:val="center"/>
          </w:tcPr>
          <w:p w14:paraId="1D48D378">
            <w:pPr>
              <w:snapToGrid w:val="0"/>
              <w:spacing w:line="300" w:lineRule="exact"/>
              <w:jc w:val="center"/>
              <w:rPr>
                <w:rFonts w:hint="default" w:ascii="Times New Roman" w:hAnsi="Times New Roman" w:cs="Times New Roman" w:eastAsiaTheme="minorEastAsia"/>
              </w:rPr>
            </w:pPr>
            <w:r>
              <w:rPr>
                <w:rFonts w:hint="default" w:ascii="Times New Roman" w:hAnsi="Times New Roman" w:cs="Times New Roman" w:eastAsiaTheme="minorEastAsia"/>
              </w:rPr>
              <w:t>GB 17945—2010</w:t>
            </w:r>
          </w:p>
        </w:tc>
      </w:tr>
      <w:tr w14:paraId="67324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780" w:type="dxa"/>
            <w:noWrap w:val="0"/>
            <w:vAlign w:val="center"/>
          </w:tcPr>
          <w:p w14:paraId="1E08AA73">
            <w:pPr>
              <w:snapToGrid w:val="0"/>
              <w:spacing w:line="300" w:lineRule="exact"/>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7</w:t>
            </w:r>
          </w:p>
        </w:tc>
        <w:tc>
          <w:tcPr>
            <w:tcW w:w="4707" w:type="dxa"/>
            <w:gridSpan w:val="2"/>
            <w:noWrap w:val="0"/>
            <w:vAlign w:val="center"/>
          </w:tcPr>
          <w:p w14:paraId="5EFFB5AB">
            <w:pPr>
              <w:spacing w:line="300" w:lineRule="exact"/>
              <w:jc w:val="center"/>
              <w:rPr>
                <w:rFonts w:hint="default" w:ascii="Times New Roman" w:hAnsi="Times New Roman" w:cs="Times New Roman" w:eastAsiaTheme="minorEastAsia"/>
              </w:rPr>
            </w:pPr>
            <w:r>
              <w:rPr>
                <w:rFonts w:hint="default" w:ascii="Times New Roman" w:hAnsi="Times New Roman" w:cs="Times New Roman" w:eastAsiaTheme="minorEastAsia"/>
                <w:color w:val="000000"/>
                <w:szCs w:val="21"/>
              </w:rPr>
              <w:t>外壳防护等级试验</w:t>
            </w:r>
          </w:p>
        </w:tc>
        <w:tc>
          <w:tcPr>
            <w:tcW w:w="3644" w:type="dxa"/>
            <w:noWrap w:val="0"/>
            <w:vAlign w:val="center"/>
          </w:tcPr>
          <w:p w14:paraId="622B6BF3">
            <w:pPr>
              <w:snapToGrid w:val="0"/>
              <w:spacing w:line="300" w:lineRule="exact"/>
              <w:jc w:val="center"/>
              <w:rPr>
                <w:rFonts w:hint="default" w:ascii="Times New Roman" w:hAnsi="Times New Roman" w:cs="Times New Roman" w:eastAsiaTheme="minorEastAsia"/>
              </w:rPr>
            </w:pPr>
            <w:r>
              <w:rPr>
                <w:rFonts w:hint="default" w:ascii="Times New Roman" w:hAnsi="Times New Roman" w:cs="Times New Roman" w:eastAsiaTheme="minorEastAsia"/>
              </w:rPr>
              <w:t>GB 17945—2010</w:t>
            </w:r>
          </w:p>
        </w:tc>
      </w:tr>
      <w:tr w14:paraId="39C08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9131" w:type="dxa"/>
            <w:gridSpan w:val="4"/>
            <w:noWrap w:val="0"/>
            <w:vAlign w:val="center"/>
          </w:tcPr>
          <w:p w14:paraId="2868913C">
            <w:pPr>
              <w:snapToGrid w:val="0"/>
              <w:spacing w:line="300" w:lineRule="exact"/>
              <w:jc w:val="left"/>
              <w:rPr>
                <w:rFonts w:hint="default" w:ascii="Times New Roman" w:hAnsi="Times New Roman" w:cs="Times New Roman" w:eastAsiaTheme="minorEastAsia"/>
              </w:rPr>
            </w:pPr>
            <w:r>
              <w:rPr>
                <w:rFonts w:hint="default" w:ascii="Times New Roman" w:hAnsi="Times New Roman" w:cs="Times New Roman" w:eastAsiaTheme="minorEastAsia"/>
              </w:rPr>
              <w:t>注：1</w:t>
            </w:r>
            <w:r>
              <w:rPr>
                <w:rFonts w:hint="default" w:ascii="Times New Roman" w:hAnsi="Times New Roman" w:cs="Times New Roman" w:eastAsiaTheme="minorEastAsia"/>
                <w:szCs w:val="21"/>
              </w:rPr>
              <w:t>. 表面亮度</w:t>
            </w:r>
            <w:r>
              <w:rPr>
                <w:rFonts w:hint="default" w:ascii="Times New Roman" w:hAnsi="Times New Roman" w:cs="Times New Roman" w:eastAsiaTheme="minorEastAsia"/>
                <w:bCs/>
                <w:szCs w:val="21"/>
              </w:rPr>
              <w:t>检验</w:t>
            </w:r>
            <w:r>
              <w:rPr>
                <w:rFonts w:hint="default" w:ascii="Times New Roman" w:hAnsi="Times New Roman" w:cs="Times New Roman" w:eastAsiaTheme="minorEastAsia"/>
              </w:rPr>
              <w:t>项目适用于消防应急标志灯具；</w:t>
            </w:r>
          </w:p>
          <w:p w14:paraId="43413C6F">
            <w:pPr>
              <w:snapToGrid w:val="0"/>
              <w:spacing w:line="300" w:lineRule="exact"/>
              <w:ind w:firstLine="420" w:firstLineChars="200"/>
              <w:jc w:val="left"/>
              <w:rPr>
                <w:rFonts w:hint="default" w:ascii="Times New Roman" w:hAnsi="Times New Roman" w:cs="Times New Roman" w:eastAsiaTheme="minorEastAsia"/>
              </w:rPr>
            </w:pPr>
            <w:r>
              <w:rPr>
                <w:rFonts w:hint="default" w:ascii="Times New Roman" w:hAnsi="Times New Roman" w:cs="Times New Roman" w:eastAsiaTheme="minorEastAsia"/>
                <w:szCs w:val="21"/>
              </w:rPr>
              <w:t>2. 应急状态光通量</w:t>
            </w:r>
            <w:r>
              <w:rPr>
                <w:rFonts w:hint="default" w:ascii="Times New Roman" w:hAnsi="Times New Roman" w:cs="Times New Roman" w:eastAsiaTheme="minorEastAsia"/>
                <w:bCs/>
                <w:szCs w:val="21"/>
              </w:rPr>
              <w:t>检验</w:t>
            </w:r>
            <w:r>
              <w:rPr>
                <w:rFonts w:hint="default" w:ascii="Times New Roman" w:hAnsi="Times New Roman" w:cs="Times New Roman" w:eastAsiaTheme="minorEastAsia"/>
              </w:rPr>
              <w:t>项目适用于消防应急照明灯具。</w:t>
            </w:r>
          </w:p>
        </w:tc>
      </w:tr>
    </w:tbl>
    <w:p w14:paraId="44CA00A7">
      <w:pPr>
        <w:snapToGrid w:val="0"/>
        <w:spacing w:line="440" w:lineRule="exact"/>
        <w:jc w:val="center"/>
        <w:rPr>
          <w:rFonts w:hint="default" w:ascii="Times New Roman" w:hAnsi="Times New Roman" w:cs="Times New Roman" w:eastAsiaTheme="minorEastAsia"/>
          <w:color w:val="000000" w:themeColor="text1"/>
          <w:szCs w:val="21"/>
          <w14:textFill>
            <w14:solidFill>
              <w14:schemeClr w14:val="tx1"/>
            </w14:solidFill>
          </w14:textFill>
        </w:rPr>
      </w:pPr>
      <w:r>
        <w:rPr>
          <w:rFonts w:hint="default" w:ascii="Times New Roman" w:hAnsi="Times New Roman" w:cs="Times New Roman" w:eastAsiaTheme="minorEastAsia"/>
          <w:color w:val="000000" w:themeColor="text1"/>
          <w:szCs w:val="21"/>
          <w:lang w:eastAsia="zh-CN"/>
          <w14:textFill>
            <w14:solidFill>
              <w14:schemeClr w14:val="tx1"/>
            </w14:solidFill>
          </w14:textFill>
        </w:rPr>
        <w:t>表</w:t>
      </w:r>
      <w:r>
        <w:rPr>
          <w:rFonts w:hint="default" w:ascii="Times New Roman" w:hAnsi="Times New Roman" w:cs="Times New Roman" w:eastAsiaTheme="minorEastAsia"/>
          <w:color w:val="000000" w:themeColor="text1"/>
          <w:szCs w:val="21"/>
          <w:lang w:val="en-US" w:eastAsia="zh-CN"/>
          <w14:textFill>
            <w14:solidFill>
              <w14:schemeClr w14:val="tx1"/>
            </w14:solidFill>
          </w14:textFill>
        </w:rPr>
        <w:t>2（适用于生产日期为2025年05月01日之后的产品）</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0"/>
        <w:gridCol w:w="1947"/>
        <w:gridCol w:w="2760"/>
        <w:gridCol w:w="3644"/>
      </w:tblGrid>
      <w:tr w14:paraId="57A29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80" w:type="dxa"/>
            <w:noWrap w:val="0"/>
            <w:vAlign w:val="top"/>
          </w:tcPr>
          <w:p w14:paraId="310DCC18">
            <w:pPr>
              <w:snapToGrid w:val="0"/>
              <w:spacing w:line="300" w:lineRule="exact"/>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序号</w:t>
            </w:r>
          </w:p>
        </w:tc>
        <w:tc>
          <w:tcPr>
            <w:tcW w:w="4707" w:type="dxa"/>
            <w:gridSpan w:val="2"/>
            <w:noWrap w:val="0"/>
            <w:vAlign w:val="top"/>
          </w:tcPr>
          <w:p w14:paraId="3DEC9AAE">
            <w:pPr>
              <w:snapToGrid w:val="0"/>
              <w:spacing w:line="300" w:lineRule="exact"/>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检验项目</w:t>
            </w:r>
          </w:p>
        </w:tc>
        <w:tc>
          <w:tcPr>
            <w:tcW w:w="3644" w:type="dxa"/>
            <w:noWrap w:val="0"/>
            <w:vAlign w:val="top"/>
          </w:tcPr>
          <w:p w14:paraId="01AFA656">
            <w:pPr>
              <w:snapToGrid w:val="0"/>
              <w:spacing w:line="300" w:lineRule="exact"/>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检验方法</w:t>
            </w:r>
          </w:p>
        </w:tc>
      </w:tr>
      <w:tr w14:paraId="27E34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 w:hRule="atLeast"/>
          <w:jc w:val="center"/>
        </w:trPr>
        <w:tc>
          <w:tcPr>
            <w:tcW w:w="780" w:type="dxa"/>
            <w:vMerge w:val="restart"/>
            <w:noWrap w:val="0"/>
            <w:vAlign w:val="center"/>
          </w:tcPr>
          <w:p w14:paraId="54D2A6D1">
            <w:pPr>
              <w:snapToGrid w:val="0"/>
              <w:spacing w:line="300" w:lineRule="exact"/>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1</w:t>
            </w:r>
          </w:p>
        </w:tc>
        <w:tc>
          <w:tcPr>
            <w:tcW w:w="1947" w:type="dxa"/>
            <w:vMerge w:val="restart"/>
            <w:noWrap w:val="0"/>
            <w:vAlign w:val="center"/>
          </w:tcPr>
          <w:p w14:paraId="1EAA938B">
            <w:pPr>
              <w:spacing w:line="300" w:lineRule="exact"/>
              <w:jc w:val="center"/>
              <w:rPr>
                <w:rFonts w:hint="default" w:ascii="Times New Roman" w:hAnsi="Times New Roman" w:cs="Times New Roman" w:eastAsiaTheme="minorEastAsia"/>
                <w:highlight w:val="none"/>
              </w:rPr>
            </w:pPr>
            <w:r>
              <w:rPr>
                <w:rFonts w:hint="default" w:ascii="Times New Roman" w:hAnsi="Times New Roman" w:cs="Times New Roman" w:eastAsiaTheme="minorEastAsia"/>
                <w:highlight w:val="none"/>
              </w:rPr>
              <w:t>基本功能试验</w:t>
            </w:r>
          </w:p>
        </w:tc>
        <w:tc>
          <w:tcPr>
            <w:tcW w:w="2760" w:type="dxa"/>
            <w:noWrap w:val="0"/>
            <w:vAlign w:val="center"/>
          </w:tcPr>
          <w:p w14:paraId="2BA4626B">
            <w:pPr>
              <w:spacing w:line="300" w:lineRule="exact"/>
              <w:jc w:val="center"/>
              <w:rPr>
                <w:rFonts w:hint="default" w:ascii="Times New Roman" w:hAnsi="Times New Roman" w:cs="Times New Roman" w:eastAsiaTheme="minorEastAsia"/>
                <w:highlight w:val="none"/>
              </w:rPr>
            </w:pPr>
            <w:r>
              <w:rPr>
                <w:rFonts w:hint="default" w:ascii="Times New Roman" w:hAnsi="Times New Roman" w:cs="Times New Roman" w:eastAsiaTheme="minorEastAsia"/>
                <w:highlight w:val="none"/>
              </w:rPr>
              <w:t>表面亮度（适用时）</w:t>
            </w:r>
          </w:p>
        </w:tc>
        <w:tc>
          <w:tcPr>
            <w:tcW w:w="3644" w:type="dxa"/>
            <w:vMerge w:val="restart"/>
            <w:noWrap w:val="0"/>
            <w:vAlign w:val="center"/>
          </w:tcPr>
          <w:p w14:paraId="7D522A7C">
            <w:pPr>
              <w:snapToGrid w:val="0"/>
              <w:spacing w:line="300" w:lineRule="exact"/>
              <w:jc w:val="center"/>
              <w:rPr>
                <w:rFonts w:hint="default" w:ascii="Times New Roman" w:hAnsi="Times New Roman" w:cs="Times New Roman" w:eastAsiaTheme="minorEastAsia"/>
                <w:lang w:eastAsia="zh-CN"/>
              </w:rPr>
            </w:pPr>
            <w:r>
              <w:rPr>
                <w:rFonts w:hint="default" w:ascii="Times New Roman" w:hAnsi="Times New Roman" w:cs="Times New Roman" w:eastAsiaTheme="minorEastAsia"/>
                <w:lang w:eastAsia="zh-CN"/>
              </w:rPr>
              <w:t>GB 17945—2024</w:t>
            </w:r>
          </w:p>
        </w:tc>
      </w:tr>
      <w:tr w14:paraId="1AE94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jc w:val="center"/>
        </w:trPr>
        <w:tc>
          <w:tcPr>
            <w:tcW w:w="780" w:type="dxa"/>
            <w:vMerge w:val="continue"/>
            <w:noWrap w:val="0"/>
            <w:vAlign w:val="center"/>
          </w:tcPr>
          <w:p w14:paraId="4A611F44">
            <w:pPr>
              <w:snapToGrid w:val="0"/>
              <w:spacing w:line="300" w:lineRule="exact"/>
              <w:jc w:val="center"/>
              <w:rPr>
                <w:rFonts w:hint="default" w:ascii="Times New Roman" w:hAnsi="Times New Roman" w:cs="Times New Roman" w:eastAsiaTheme="minorEastAsia"/>
                <w:szCs w:val="21"/>
              </w:rPr>
            </w:pPr>
          </w:p>
        </w:tc>
        <w:tc>
          <w:tcPr>
            <w:tcW w:w="1947" w:type="dxa"/>
            <w:vMerge w:val="continue"/>
            <w:noWrap w:val="0"/>
            <w:vAlign w:val="center"/>
          </w:tcPr>
          <w:p w14:paraId="49984902">
            <w:pPr>
              <w:spacing w:line="300" w:lineRule="exact"/>
              <w:jc w:val="center"/>
              <w:rPr>
                <w:rFonts w:hint="default" w:ascii="Times New Roman" w:hAnsi="Times New Roman" w:cs="Times New Roman" w:eastAsiaTheme="minorEastAsia"/>
                <w:highlight w:val="none"/>
              </w:rPr>
            </w:pPr>
          </w:p>
        </w:tc>
        <w:tc>
          <w:tcPr>
            <w:tcW w:w="2760" w:type="dxa"/>
            <w:noWrap w:val="0"/>
            <w:vAlign w:val="center"/>
          </w:tcPr>
          <w:p w14:paraId="4A24F09C">
            <w:pPr>
              <w:spacing w:line="300" w:lineRule="exact"/>
              <w:jc w:val="center"/>
              <w:rPr>
                <w:rFonts w:hint="default" w:ascii="Times New Roman" w:hAnsi="Times New Roman" w:cs="Times New Roman" w:eastAsiaTheme="minorEastAsia"/>
                <w:highlight w:val="none"/>
              </w:rPr>
            </w:pPr>
            <w:r>
              <w:rPr>
                <w:rFonts w:hint="default" w:ascii="Times New Roman" w:hAnsi="Times New Roman" w:cs="Times New Roman" w:eastAsiaTheme="minorEastAsia"/>
                <w:highlight w:val="none"/>
              </w:rPr>
              <w:t>应急状态光通量（适用时）</w:t>
            </w:r>
          </w:p>
        </w:tc>
        <w:tc>
          <w:tcPr>
            <w:tcW w:w="3644" w:type="dxa"/>
            <w:vMerge w:val="continue"/>
            <w:noWrap w:val="0"/>
            <w:vAlign w:val="center"/>
          </w:tcPr>
          <w:p w14:paraId="10C6110A">
            <w:pPr>
              <w:snapToGrid w:val="0"/>
              <w:spacing w:line="300" w:lineRule="exact"/>
              <w:jc w:val="center"/>
              <w:rPr>
                <w:rFonts w:hint="default" w:ascii="Times New Roman" w:hAnsi="Times New Roman" w:cs="Times New Roman" w:eastAsiaTheme="minorEastAsia"/>
              </w:rPr>
            </w:pPr>
          </w:p>
        </w:tc>
      </w:tr>
      <w:tr w14:paraId="1D586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 w:hRule="atLeast"/>
          <w:jc w:val="center"/>
        </w:trPr>
        <w:tc>
          <w:tcPr>
            <w:tcW w:w="780" w:type="dxa"/>
            <w:vMerge w:val="continue"/>
            <w:noWrap w:val="0"/>
            <w:vAlign w:val="center"/>
          </w:tcPr>
          <w:p w14:paraId="7E70EA0A">
            <w:pPr>
              <w:snapToGrid w:val="0"/>
              <w:spacing w:line="300" w:lineRule="exact"/>
              <w:jc w:val="center"/>
              <w:rPr>
                <w:rFonts w:hint="default" w:ascii="Times New Roman" w:hAnsi="Times New Roman" w:cs="Times New Roman" w:eastAsiaTheme="minorEastAsia"/>
                <w:szCs w:val="21"/>
              </w:rPr>
            </w:pPr>
          </w:p>
        </w:tc>
        <w:tc>
          <w:tcPr>
            <w:tcW w:w="1947" w:type="dxa"/>
            <w:vMerge w:val="continue"/>
            <w:noWrap w:val="0"/>
            <w:vAlign w:val="center"/>
          </w:tcPr>
          <w:p w14:paraId="21266F01">
            <w:pPr>
              <w:spacing w:line="300" w:lineRule="exact"/>
              <w:jc w:val="center"/>
              <w:rPr>
                <w:rFonts w:hint="default" w:ascii="Times New Roman" w:hAnsi="Times New Roman" w:cs="Times New Roman" w:eastAsiaTheme="minorEastAsia"/>
                <w:highlight w:val="none"/>
              </w:rPr>
            </w:pPr>
          </w:p>
        </w:tc>
        <w:tc>
          <w:tcPr>
            <w:tcW w:w="2760" w:type="dxa"/>
            <w:noWrap w:val="0"/>
            <w:vAlign w:val="center"/>
          </w:tcPr>
          <w:p w14:paraId="393C9882">
            <w:pPr>
              <w:spacing w:line="300" w:lineRule="exact"/>
              <w:jc w:val="center"/>
              <w:rPr>
                <w:rFonts w:hint="default" w:ascii="Times New Roman" w:hAnsi="Times New Roman" w:cs="Times New Roman" w:eastAsiaTheme="minorEastAsia"/>
                <w:highlight w:val="none"/>
              </w:rPr>
            </w:pPr>
            <w:r>
              <w:rPr>
                <w:rFonts w:hint="default" w:ascii="Times New Roman" w:hAnsi="Times New Roman" w:cs="Times New Roman" w:eastAsiaTheme="minorEastAsia"/>
                <w:highlight w:val="none"/>
              </w:rPr>
              <w:t>最小初装持续应急工作时间</w:t>
            </w:r>
          </w:p>
        </w:tc>
        <w:tc>
          <w:tcPr>
            <w:tcW w:w="3644" w:type="dxa"/>
            <w:vMerge w:val="continue"/>
            <w:noWrap w:val="0"/>
            <w:vAlign w:val="center"/>
          </w:tcPr>
          <w:p w14:paraId="236E752A">
            <w:pPr>
              <w:snapToGrid w:val="0"/>
              <w:spacing w:line="300" w:lineRule="exact"/>
              <w:jc w:val="center"/>
              <w:rPr>
                <w:rFonts w:hint="default" w:ascii="Times New Roman" w:hAnsi="Times New Roman" w:cs="Times New Roman" w:eastAsiaTheme="minorEastAsia"/>
              </w:rPr>
            </w:pPr>
          </w:p>
        </w:tc>
      </w:tr>
      <w:tr w14:paraId="18B4A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780" w:type="dxa"/>
            <w:vMerge w:val="continue"/>
            <w:noWrap w:val="0"/>
            <w:vAlign w:val="center"/>
          </w:tcPr>
          <w:p w14:paraId="4BBDFAA8">
            <w:pPr>
              <w:snapToGrid w:val="0"/>
              <w:spacing w:line="300" w:lineRule="exact"/>
              <w:jc w:val="center"/>
              <w:rPr>
                <w:rFonts w:hint="default" w:ascii="Times New Roman" w:hAnsi="Times New Roman" w:cs="Times New Roman" w:eastAsiaTheme="minorEastAsia"/>
                <w:szCs w:val="21"/>
              </w:rPr>
            </w:pPr>
          </w:p>
        </w:tc>
        <w:tc>
          <w:tcPr>
            <w:tcW w:w="1947" w:type="dxa"/>
            <w:vMerge w:val="continue"/>
            <w:noWrap w:val="0"/>
            <w:vAlign w:val="center"/>
          </w:tcPr>
          <w:p w14:paraId="5BC42110">
            <w:pPr>
              <w:spacing w:line="300" w:lineRule="exact"/>
              <w:jc w:val="center"/>
              <w:rPr>
                <w:rFonts w:hint="default" w:ascii="Times New Roman" w:hAnsi="Times New Roman" w:cs="Times New Roman" w:eastAsiaTheme="minorEastAsia"/>
                <w:lang w:val="en-US" w:eastAsia="zh-CN"/>
              </w:rPr>
            </w:pPr>
          </w:p>
        </w:tc>
        <w:tc>
          <w:tcPr>
            <w:tcW w:w="2760" w:type="dxa"/>
            <w:noWrap w:val="0"/>
            <w:vAlign w:val="center"/>
          </w:tcPr>
          <w:p w14:paraId="0E520277">
            <w:pPr>
              <w:spacing w:line="300" w:lineRule="exact"/>
              <w:jc w:val="center"/>
              <w:rPr>
                <w:rFonts w:hint="default" w:ascii="Times New Roman" w:hAnsi="Times New Roman" w:cs="Times New Roman" w:eastAsiaTheme="minorEastAsia"/>
                <w:kern w:val="2"/>
                <w:sz w:val="21"/>
                <w:szCs w:val="24"/>
                <w:lang w:val="en-US" w:eastAsia="zh-CN" w:bidi="ar-SA"/>
              </w:rPr>
            </w:pPr>
            <w:r>
              <w:rPr>
                <w:rFonts w:hint="default" w:ascii="Times New Roman" w:hAnsi="Times New Roman" w:cs="Times New Roman" w:eastAsiaTheme="minorEastAsia"/>
                <w:color w:val="000000"/>
                <w:szCs w:val="21"/>
              </w:rPr>
              <w:t>蓄电池(组)充、放电功能和性能</w:t>
            </w:r>
            <w:r>
              <w:rPr>
                <w:rFonts w:hint="default" w:ascii="Times New Roman" w:hAnsi="Times New Roman" w:cs="Times New Roman" w:eastAsiaTheme="minorEastAsia"/>
                <w:color w:val="000000"/>
                <w:szCs w:val="21"/>
                <w:lang w:eastAsia="zh-CN"/>
              </w:rPr>
              <w:t>检查</w:t>
            </w:r>
          </w:p>
        </w:tc>
        <w:tc>
          <w:tcPr>
            <w:tcW w:w="3644" w:type="dxa"/>
            <w:vMerge w:val="continue"/>
            <w:noWrap w:val="0"/>
            <w:vAlign w:val="center"/>
          </w:tcPr>
          <w:p w14:paraId="5CE325AD">
            <w:pPr>
              <w:spacing w:line="300" w:lineRule="exact"/>
              <w:jc w:val="center"/>
              <w:rPr>
                <w:rFonts w:hint="default" w:ascii="Times New Roman" w:hAnsi="Times New Roman" w:cs="Times New Roman" w:eastAsiaTheme="minorEastAsia"/>
                <w:color w:val="000000"/>
                <w:kern w:val="2"/>
                <w:sz w:val="21"/>
                <w:szCs w:val="21"/>
                <w:lang w:val="en-US" w:eastAsia="zh-CN" w:bidi="ar-SA"/>
              </w:rPr>
            </w:pPr>
          </w:p>
        </w:tc>
      </w:tr>
      <w:tr w14:paraId="2892A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780" w:type="dxa"/>
            <w:noWrap w:val="0"/>
            <w:vAlign w:val="center"/>
          </w:tcPr>
          <w:p w14:paraId="5871DA23">
            <w:pPr>
              <w:snapToGrid w:val="0"/>
              <w:spacing w:line="300" w:lineRule="exact"/>
              <w:jc w:val="center"/>
              <w:rPr>
                <w:rFonts w:hint="default" w:ascii="Times New Roman" w:hAnsi="Times New Roman" w:cs="Times New Roman" w:eastAsiaTheme="minorEastAsia"/>
                <w:szCs w:val="21"/>
                <w:lang w:eastAsia="zh-CN"/>
              </w:rPr>
            </w:pPr>
            <w:r>
              <w:rPr>
                <w:rFonts w:hint="default" w:ascii="Times New Roman" w:hAnsi="Times New Roman" w:cs="Times New Roman" w:eastAsiaTheme="minorEastAsia"/>
                <w:szCs w:val="21"/>
                <w:lang w:val="en-US" w:eastAsia="zh-CN"/>
              </w:rPr>
              <w:t>2</w:t>
            </w:r>
          </w:p>
        </w:tc>
        <w:tc>
          <w:tcPr>
            <w:tcW w:w="4707" w:type="dxa"/>
            <w:gridSpan w:val="2"/>
            <w:noWrap w:val="0"/>
            <w:vAlign w:val="center"/>
          </w:tcPr>
          <w:p w14:paraId="7F1A5C86">
            <w:pPr>
              <w:spacing w:line="300" w:lineRule="exact"/>
              <w:jc w:val="center"/>
              <w:rPr>
                <w:rFonts w:hint="default" w:ascii="Times New Roman" w:hAnsi="Times New Roman" w:cs="Times New Roman" w:eastAsiaTheme="minorEastAsia"/>
              </w:rPr>
            </w:pPr>
            <w:r>
              <w:rPr>
                <w:rFonts w:hint="default" w:ascii="Times New Roman" w:hAnsi="Times New Roman" w:cs="Times New Roman" w:eastAsiaTheme="minorEastAsia"/>
                <w:color w:val="000000"/>
                <w:szCs w:val="21"/>
              </w:rPr>
              <w:t>转换电压试验</w:t>
            </w:r>
          </w:p>
        </w:tc>
        <w:tc>
          <w:tcPr>
            <w:tcW w:w="3644" w:type="dxa"/>
            <w:noWrap w:val="0"/>
            <w:vAlign w:val="center"/>
          </w:tcPr>
          <w:p w14:paraId="6A08AB1C">
            <w:pPr>
              <w:snapToGrid w:val="0"/>
              <w:spacing w:line="300" w:lineRule="exact"/>
              <w:jc w:val="center"/>
              <w:rPr>
                <w:rFonts w:hint="default" w:ascii="Times New Roman" w:hAnsi="Times New Roman" w:cs="Times New Roman" w:eastAsiaTheme="minorEastAsia"/>
                <w:lang w:eastAsia="zh-CN"/>
              </w:rPr>
            </w:pPr>
            <w:r>
              <w:rPr>
                <w:rFonts w:hint="default" w:ascii="Times New Roman" w:hAnsi="Times New Roman" w:cs="Times New Roman" w:eastAsiaTheme="minorEastAsia"/>
                <w:lang w:eastAsia="zh-CN"/>
              </w:rPr>
              <w:t>GB 17945—2024</w:t>
            </w:r>
          </w:p>
        </w:tc>
      </w:tr>
      <w:tr w14:paraId="78DD0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780" w:type="dxa"/>
            <w:noWrap w:val="0"/>
            <w:vAlign w:val="center"/>
          </w:tcPr>
          <w:p w14:paraId="795AE3CD">
            <w:pPr>
              <w:snapToGrid w:val="0"/>
              <w:spacing w:line="300" w:lineRule="exact"/>
              <w:jc w:val="center"/>
              <w:rPr>
                <w:rFonts w:hint="default" w:ascii="Times New Roman" w:hAnsi="Times New Roman" w:cs="Times New Roman" w:eastAsiaTheme="minorEastAsia"/>
                <w:szCs w:val="21"/>
                <w:lang w:eastAsia="zh-CN"/>
              </w:rPr>
            </w:pPr>
            <w:r>
              <w:rPr>
                <w:rFonts w:hint="default" w:ascii="Times New Roman" w:hAnsi="Times New Roman" w:cs="Times New Roman" w:eastAsiaTheme="minorEastAsia"/>
                <w:szCs w:val="21"/>
                <w:lang w:val="en-US" w:eastAsia="zh-CN"/>
              </w:rPr>
              <w:t>3</w:t>
            </w:r>
          </w:p>
        </w:tc>
        <w:tc>
          <w:tcPr>
            <w:tcW w:w="4707" w:type="dxa"/>
            <w:gridSpan w:val="2"/>
            <w:noWrap w:val="0"/>
            <w:vAlign w:val="center"/>
          </w:tcPr>
          <w:p w14:paraId="53305B31">
            <w:pPr>
              <w:spacing w:line="300" w:lineRule="exact"/>
              <w:jc w:val="center"/>
              <w:rPr>
                <w:rFonts w:hint="default" w:ascii="Times New Roman" w:hAnsi="Times New Roman" w:cs="Times New Roman" w:eastAsiaTheme="minorEastAsia"/>
                <w:color w:val="000000"/>
                <w:szCs w:val="21"/>
              </w:rPr>
            </w:pPr>
            <w:r>
              <w:rPr>
                <w:rFonts w:hint="default" w:ascii="Times New Roman" w:hAnsi="Times New Roman" w:cs="Times New Roman" w:eastAsiaTheme="minorEastAsia"/>
                <w:color w:val="000000"/>
                <w:szCs w:val="21"/>
              </w:rPr>
              <w:t>接地电阻试验</w:t>
            </w:r>
          </w:p>
        </w:tc>
        <w:tc>
          <w:tcPr>
            <w:tcW w:w="3644" w:type="dxa"/>
            <w:noWrap w:val="0"/>
            <w:vAlign w:val="center"/>
          </w:tcPr>
          <w:p w14:paraId="1D5F49A5">
            <w:pPr>
              <w:snapToGrid w:val="0"/>
              <w:spacing w:line="300" w:lineRule="exact"/>
              <w:jc w:val="center"/>
              <w:rPr>
                <w:rFonts w:hint="default" w:ascii="Times New Roman" w:hAnsi="Times New Roman" w:cs="Times New Roman" w:eastAsiaTheme="minorEastAsia"/>
                <w:lang w:eastAsia="zh-CN"/>
              </w:rPr>
            </w:pPr>
            <w:r>
              <w:rPr>
                <w:rFonts w:hint="default" w:ascii="Times New Roman" w:hAnsi="Times New Roman" w:cs="Times New Roman" w:eastAsiaTheme="minorEastAsia"/>
                <w:lang w:eastAsia="zh-CN"/>
              </w:rPr>
              <w:t>GB 17945—2024</w:t>
            </w:r>
          </w:p>
        </w:tc>
      </w:tr>
      <w:tr w14:paraId="1F60B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780" w:type="dxa"/>
            <w:noWrap w:val="0"/>
            <w:vAlign w:val="center"/>
          </w:tcPr>
          <w:p w14:paraId="61E61064">
            <w:pPr>
              <w:snapToGrid w:val="0"/>
              <w:spacing w:line="300" w:lineRule="exact"/>
              <w:jc w:val="center"/>
              <w:rPr>
                <w:rFonts w:hint="default" w:ascii="Times New Roman" w:hAnsi="Times New Roman" w:cs="Times New Roman" w:eastAsiaTheme="minorEastAsia"/>
                <w:szCs w:val="21"/>
                <w:lang w:eastAsia="zh-CN"/>
              </w:rPr>
            </w:pPr>
            <w:r>
              <w:rPr>
                <w:rFonts w:hint="default" w:ascii="Times New Roman" w:hAnsi="Times New Roman" w:cs="Times New Roman" w:eastAsiaTheme="minorEastAsia"/>
                <w:szCs w:val="21"/>
                <w:lang w:val="en-US" w:eastAsia="zh-CN"/>
              </w:rPr>
              <w:t>4</w:t>
            </w:r>
          </w:p>
        </w:tc>
        <w:tc>
          <w:tcPr>
            <w:tcW w:w="4707" w:type="dxa"/>
            <w:gridSpan w:val="2"/>
            <w:noWrap w:val="0"/>
            <w:vAlign w:val="center"/>
          </w:tcPr>
          <w:p w14:paraId="49EBC944">
            <w:pPr>
              <w:spacing w:line="300" w:lineRule="exact"/>
              <w:jc w:val="center"/>
              <w:rPr>
                <w:rFonts w:hint="default" w:ascii="Times New Roman" w:hAnsi="Times New Roman" w:cs="Times New Roman" w:eastAsiaTheme="minorEastAsia"/>
                <w:color w:val="000000"/>
                <w:szCs w:val="21"/>
              </w:rPr>
            </w:pPr>
            <w:r>
              <w:rPr>
                <w:rFonts w:hint="default" w:ascii="Times New Roman" w:hAnsi="Times New Roman" w:cs="Times New Roman" w:eastAsiaTheme="minorEastAsia"/>
                <w:color w:val="000000"/>
                <w:szCs w:val="21"/>
                <w:lang w:eastAsia="zh-CN"/>
              </w:rPr>
              <w:t>电气强度</w:t>
            </w:r>
            <w:r>
              <w:rPr>
                <w:rFonts w:hint="default" w:ascii="Times New Roman" w:hAnsi="Times New Roman" w:cs="Times New Roman" w:eastAsiaTheme="minorEastAsia"/>
                <w:color w:val="000000"/>
                <w:szCs w:val="21"/>
              </w:rPr>
              <w:t>试验</w:t>
            </w:r>
          </w:p>
        </w:tc>
        <w:tc>
          <w:tcPr>
            <w:tcW w:w="3644" w:type="dxa"/>
            <w:noWrap w:val="0"/>
            <w:vAlign w:val="center"/>
          </w:tcPr>
          <w:p w14:paraId="4160BF8D">
            <w:pPr>
              <w:snapToGrid w:val="0"/>
              <w:spacing w:line="300" w:lineRule="exact"/>
              <w:jc w:val="center"/>
              <w:rPr>
                <w:rFonts w:hint="default" w:ascii="Times New Roman" w:hAnsi="Times New Roman" w:cs="Times New Roman" w:eastAsiaTheme="minorEastAsia"/>
                <w:lang w:eastAsia="zh-CN"/>
              </w:rPr>
            </w:pPr>
            <w:r>
              <w:rPr>
                <w:rFonts w:hint="default" w:ascii="Times New Roman" w:hAnsi="Times New Roman" w:cs="Times New Roman" w:eastAsiaTheme="minorEastAsia"/>
                <w:lang w:eastAsia="zh-CN"/>
              </w:rPr>
              <w:t>GB 17945—2024</w:t>
            </w:r>
          </w:p>
        </w:tc>
      </w:tr>
      <w:tr w14:paraId="5D0CC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780" w:type="dxa"/>
            <w:noWrap w:val="0"/>
            <w:vAlign w:val="center"/>
          </w:tcPr>
          <w:p w14:paraId="23F52FC3">
            <w:pPr>
              <w:snapToGrid w:val="0"/>
              <w:spacing w:line="300" w:lineRule="exact"/>
              <w:jc w:val="center"/>
              <w:rPr>
                <w:rFonts w:hint="default" w:ascii="Times New Roman" w:hAnsi="Times New Roman" w:cs="Times New Roman" w:eastAsiaTheme="minorEastAsia"/>
                <w:szCs w:val="21"/>
                <w:lang w:eastAsia="zh-CN"/>
              </w:rPr>
            </w:pPr>
            <w:r>
              <w:rPr>
                <w:rFonts w:hint="default" w:ascii="Times New Roman" w:hAnsi="Times New Roman" w:cs="Times New Roman" w:eastAsiaTheme="minorEastAsia"/>
                <w:szCs w:val="21"/>
                <w:lang w:val="en-US" w:eastAsia="zh-CN"/>
              </w:rPr>
              <w:t>5</w:t>
            </w:r>
          </w:p>
        </w:tc>
        <w:tc>
          <w:tcPr>
            <w:tcW w:w="4707" w:type="dxa"/>
            <w:gridSpan w:val="2"/>
            <w:noWrap w:val="0"/>
            <w:vAlign w:val="center"/>
          </w:tcPr>
          <w:p w14:paraId="3926EABD">
            <w:pPr>
              <w:spacing w:line="300" w:lineRule="exact"/>
              <w:jc w:val="center"/>
              <w:rPr>
                <w:rFonts w:hint="default" w:ascii="Times New Roman" w:hAnsi="Times New Roman" w:cs="Times New Roman" w:eastAsiaTheme="minorEastAsia"/>
              </w:rPr>
            </w:pPr>
            <w:r>
              <w:rPr>
                <w:rFonts w:hint="default" w:ascii="Times New Roman" w:hAnsi="Times New Roman" w:cs="Times New Roman" w:eastAsiaTheme="minorEastAsia"/>
                <w:color w:val="000000"/>
                <w:szCs w:val="21"/>
              </w:rPr>
              <w:t>外壳防护等级试验</w:t>
            </w:r>
          </w:p>
        </w:tc>
        <w:tc>
          <w:tcPr>
            <w:tcW w:w="3644" w:type="dxa"/>
            <w:noWrap w:val="0"/>
            <w:vAlign w:val="center"/>
          </w:tcPr>
          <w:p w14:paraId="645315A5">
            <w:pPr>
              <w:snapToGrid w:val="0"/>
              <w:spacing w:line="300" w:lineRule="exact"/>
              <w:jc w:val="center"/>
              <w:rPr>
                <w:rFonts w:hint="default" w:ascii="Times New Roman" w:hAnsi="Times New Roman" w:cs="Times New Roman" w:eastAsiaTheme="minorEastAsia"/>
                <w:lang w:eastAsia="zh-CN"/>
              </w:rPr>
            </w:pPr>
            <w:r>
              <w:rPr>
                <w:rFonts w:hint="default" w:ascii="Times New Roman" w:hAnsi="Times New Roman" w:cs="Times New Roman" w:eastAsiaTheme="minorEastAsia"/>
                <w:lang w:eastAsia="zh-CN"/>
              </w:rPr>
              <w:t>GB 17945—2024</w:t>
            </w:r>
          </w:p>
        </w:tc>
      </w:tr>
      <w:tr w14:paraId="3A16D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9131" w:type="dxa"/>
            <w:gridSpan w:val="4"/>
            <w:noWrap w:val="0"/>
            <w:vAlign w:val="center"/>
          </w:tcPr>
          <w:p w14:paraId="76ACA568">
            <w:pPr>
              <w:snapToGrid w:val="0"/>
              <w:spacing w:line="300" w:lineRule="exact"/>
              <w:jc w:val="left"/>
              <w:rPr>
                <w:rFonts w:hint="default" w:ascii="Times New Roman" w:hAnsi="Times New Roman" w:cs="Times New Roman" w:eastAsiaTheme="minorEastAsia"/>
              </w:rPr>
            </w:pPr>
            <w:r>
              <w:rPr>
                <w:rFonts w:hint="default" w:ascii="Times New Roman" w:hAnsi="Times New Roman" w:cs="Times New Roman" w:eastAsiaTheme="minorEastAsia"/>
              </w:rPr>
              <w:t>注：1</w:t>
            </w:r>
            <w:r>
              <w:rPr>
                <w:rFonts w:hint="default" w:ascii="Times New Roman" w:hAnsi="Times New Roman" w:cs="Times New Roman" w:eastAsiaTheme="minorEastAsia"/>
                <w:szCs w:val="21"/>
              </w:rPr>
              <w:t>. 表面亮度</w:t>
            </w:r>
            <w:r>
              <w:rPr>
                <w:rFonts w:hint="default" w:ascii="Times New Roman" w:hAnsi="Times New Roman" w:cs="Times New Roman" w:eastAsiaTheme="minorEastAsia"/>
                <w:bCs/>
                <w:szCs w:val="21"/>
              </w:rPr>
              <w:t>检验</w:t>
            </w:r>
            <w:r>
              <w:rPr>
                <w:rFonts w:hint="default" w:ascii="Times New Roman" w:hAnsi="Times New Roman" w:cs="Times New Roman" w:eastAsiaTheme="minorEastAsia"/>
              </w:rPr>
              <w:t>项目适用于消防应急标志灯具；</w:t>
            </w:r>
          </w:p>
          <w:p w14:paraId="2541CCD8">
            <w:pPr>
              <w:snapToGrid w:val="0"/>
              <w:spacing w:line="300" w:lineRule="exact"/>
              <w:ind w:firstLine="420" w:firstLineChars="200"/>
              <w:jc w:val="left"/>
              <w:rPr>
                <w:rFonts w:hint="default" w:ascii="Times New Roman" w:hAnsi="Times New Roman" w:cs="Times New Roman" w:eastAsiaTheme="minorEastAsia"/>
              </w:rPr>
            </w:pPr>
            <w:r>
              <w:rPr>
                <w:rFonts w:hint="default" w:ascii="Times New Roman" w:hAnsi="Times New Roman" w:cs="Times New Roman" w:eastAsiaTheme="minorEastAsia"/>
                <w:szCs w:val="21"/>
              </w:rPr>
              <w:t>2. 应急状态光通量</w:t>
            </w:r>
            <w:r>
              <w:rPr>
                <w:rFonts w:hint="default" w:ascii="Times New Roman" w:hAnsi="Times New Roman" w:cs="Times New Roman" w:eastAsiaTheme="minorEastAsia"/>
                <w:bCs/>
                <w:szCs w:val="21"/>
              </w:rPr>
              <w:t>检验</w:t>
            </w:r>
            <w:r>
              <w:rPr>
                <w:rFonts w:hint="default" w:ascii="Times New Roman" w:hAnsi="Times New Roman" w:cs="Times New Roman" w:eastAsiaTheme="minorEastAsia"/>
              </w:rPr>
              <w:t>项目适用于消防应急照明灯具。</w:t>
            </w:r>
          </w:p>
        </w:tc>
      </w:tr>
    </w:tbl>
    <w:p w14:paraId="519430F3">
      <w:pPr>
        <w:adjustRightInd w:val="0"/>
        <w:snapToGrid w:val="0"/>
        <w:spacing w:line="440" w:lineRule="exact"/>
        <w:ind w:firstLine="420" w:firstLineChars="200"/>
        <w:rPr>
          <w:rFonts w:hint="default" w:ascii="Times New Roman" w:hAnsi="Times New Roman" w:cs="Times New Roman"/>
          <w:color w:val="000000"/>
        </w:rPr>
      </w:pPr>
      <w:r>
        <w:rPr>
          <w:rFonts w:hint="default" w:ascii="Times New Roman" w:hAnsi="Times New Roman" w:cs="Times New Roman"/>
          <w:color w:val="000000"/>
        </w:rPr>
        <w:t>执行企业标准、团体标准、地方标准的产品，检验项目参照上述内容执行。</w:t>
      </w:r>
    </w:p>
    <w:bookmarkEnd w:id="0"/>
    <w:p w14:paraId="3750791C">
      <w:pPr>
        <w:snapToGrid w:val="0"/>
        <w:spacing w:line="440" w:lineRule="exact"/>
        <w:ind w:firstLine="420" w:firstLineChars="200"/>
        <w:rPr>
          <w:rFonts w:hint="default" w:ascii="Times New Roman" w:hAnsi="Times New Roman" w:cs="Times New Roman"/>
          <w:color w:val="000000"/>
        </w:rPr>
      </w:pPr>
      <w:r>
        <w:rPr>
          <w:rFonts w:hint="default" w:ascii="Times New Roman" w:hAnsi="Times New Roman" w:cs="Times New Roman"/>
          <w:color w:val="000000"/>
        </w:rPr>
        <w:t>凡是注日期的文件，其随后所有的修改单（不包括勘误的内容）或修订版不适用于本细则。凡是不注日期的文件，其最新版本适用于本细则。</w:t>
      </w:r>
    </w:p>
    <w:p w14:paraId="53A5D2D7">
      <w:pPr>
        <w:spacing w:line="400" w:lineRule="exact"/>
        <w:rPr>
          <w:rFonts w:hint="default" w:ascii="Times New Roman" w:hAnsi="Times New Roman" w:cs="Times New Roman"/>
          <w:b/>
        </w:rPr>
      </w:pPr>
      <w:r>
        <w:rPr>
          <w:rFonts w:hint="default" w:ascii="Times New Roman" w:hAnsi="Times New Roman" w:cs="Times New Roman"/>
          <w:b/>
        </w:rPr>
        <w:t>4 判定规则</w:t>
      </w:r>
    </w:p>
    <w:p w14:paraId="1996D5DD">
      <w:pPr>
        <w:adjustRightInd w:val="0"/>
        <w:snapToGrid w:val="0"/>
        <w:spacing w:line="440" w:lineRule="exact"/>
        <w:rPr>
          <w:rFonts w:hint="default" w:ascii="Times New Roman" w:hAnsi="Times New Roman" w:cs="Times New Roman"/>
          <w:color w:val="000000"/>
        </w:rPr>
      </w:pPr>
      <w:r>
        <w:rPr>
          <w:rFonts w:hint="default" w:ascii="Times New Roman" w:hAnsi="Times New Roman" w:cs="Times New Roman"/>
          <w:color w:val="000000"/>
        </w:rPr>
        <w:t>4.1依据标准</w:t>
      </w:r>
    </w:p>
    <w:p w14:paraId="223F1E98">
      <w:pPr>
        <w:adjustRightInd w:val="0"/>
        <w:snapToGrid w:val="0"/>
        <w:spacing w:line="440" w:lineRule="exact"/>
        <w:ind w:firstLine="420" w:firstLineChars="200"/>
        <w:rPr>
          <w:rFonts w:hint="default" w:ascii="Times New Roman" w:hAnsi="Times New Roman" w:cs="Times New Roman"/>
          <w:color w:val="000000"/>
        </w:rPr>
      </w:pPr>
      <w:r>
        <w:rPr>
          <w:rFonts w:hint="default" w:ascii="Times New Roman" w:hAnsi="Times New Roman" w:cs="Times New Roman"/>
          <w:color w:val="000000"/>
        </w:rPr>
        <w:t>GB 17945-2010 《消防应急照明和疏散指示系统》</w:t>
      </w:r>
    </w:p>
    <w:p w14:paraId="1AB783CC">
      <w:pPr>
        <w:pStyle w:val="2"/>
        <w:ind w:firstLine="420" w:firstLineChars="200"/>
        <w:rPr>
          <w:rFonts w:hint="default" w:ascii="Times New Roman" w:hAnsi="Times New Roman" w:eastAsia="宋体" w:cs="Times New Roman"/>
          <w:color w:val="000000"/>
          <w:kern w:val="2"/>
          <w:sz w:val="21"/>
          <w:szCs w:val="21"/>
          <w:lang w:val="en-US" w:eastAsia="zh-CN" w:bidi="ar-SA"/>
        </w:rPr>
      </w:pPr>
      <w:r>
        <w:rPr>
          <w:rFonts w:hint="default" w:ascii="Times New Roman" w:hAnsi="Times New Roman" w:eastAsia="宋体" w:cs="Times New Roman"/>
          <w:color w:val="000000"/>
          <w:kern w:val="2"/>
          <w:sz w:val="21"/>
          <w:szCs w:val="21"/>
          <w:lang w:val="en-US" w:eastAsia="zh-CN" w:bidi="ar-SA"/>
        </w:rPr>
        <w:t>GB 17945-20</w:t>
      </w:r>
      <w:r>
        <w:rPr>
          <w:rFonts w:hint="eastAsia" w:ascii="Times New Roman" w:hAnsi="Times New Roman" w:cs="Times New Roman"/>
          <w:color w:val="000000"/>
          <w:kern w:val="2"/>
          <w:sz w:val="21"/>
          <w:szCs w:val="21"/>
          <w:lang w:val="en-US" w:eastAsia="zh-CN" w:bidi="ar-SA"/>
        </w:rPr>
        <w:t>24</w:t>
      </w:r>
      <w:r>
        <w:rPr>
          <w:rFonts w:hint="default" w:ascii="Times New Roman" w:hAnsi="Times New Roman" w:eastAsia="宋体" w:cs="Times New Roman"/>
          <w:color w:val="000000"/>
          <w:kern w:val="2"/>
          <w:sz w:val="21"/>
          <w:szCs w:val="21"/>
          <w:lang w:val="en-US" w:eastAsia="zh-CN" w:bidi="ar-SA"/>
        </w:rPr>
        <w:t xml:space="preserve"> 《消防应急照明和疏散指示系统》</w:t>
      </w:r>
    </w:p>
    <w:p w14:paraId="0B015D06">
      <w:pPr>
        <w:adjustRightInd w:val="0"/>
        <w:snapToGrid w:val="0"/>
        <w:spacing w:line="440" w:lineRule="exact"/>
        <w:ind w:firstLine="420" w:firstLineChars="200"/>
        <w:rPr>
          <w:rFonts w:hint="default" w:ascii="Times New Roman" w:hAnsi="Times New Roman" w:cs="Times New Roman"/>
          <w:color w:val="000000"/>
        </w:rPr>
      </w:pPr>
      <w:r>
        <w:rPr>
          <w:rFonts w:hint="default" w:ascii="Times New Roman" w:hAnsi="Times New Roman" w:cs="Times New Roman"/>
          <w:color w:val="000000"/>
        </w:rPr>
        <w:t>现行有效的企业标准、团体标准、地方标准及产品明示质量要求</w:t>
      </w:r>
    </w:p>
    <w:p w14:paraId="4C2BAAA7">
      <w:pPr>
        <w:adjustRightInd w:val="0"/>
        <w:snapToGrid w:val="0"/>
        <w:spacing w:line="440" w:lineRule="exact"/>
        <w:rPr>
          <w:rFonts w:hint="default" w:ascii="Times New Roman" w:hAnsi="Times New Roman" w:cs="Times New Roman"/>
          <w:color w:val="000000"/>
        </w:rPr>
      </w:pPr>
      <w:r>
        <w:rPr>
          <w:rFonts w:hint="default" w:ascii="Times New Roman" w:hAnsi="Times New Roman" w:cs="Times New Roman"/>
          <w:color w:val="000000"/>
        </w:rPr>
        <w:t>4.2判定原则</w:t>
      </w:r>
    </w:p>
    <w:p w14:paraId="7BCE18BA">
      <w:pPr>
        <w:adjustRightInd w:val="0"/>
        <w:snapToGrid w:val="0"/>
        <w:spacing w:line="400" w:lineRule="exact"/>
        <w:ind w:firstLine="420" w:firstLineChars="200"/>
        <w:rPr>
          <w:rFonts w:hint="default" w:ascii="Times New Roman" w:hAnsi="Times New Roman" w:cs="Times New Roman"/>
          <w:color w:val="000000"/>
        </w:rPr>
      </w:pPr>
      <w:r>
        <w:rPr>
          <w:rFonts w:hint="default" w:ascii="Times New Roman" w:hAnsi="Times New Roman" w:cs="Times New Roman"/>
          <w:color w:val="000000"/>
        </w:rPr>
        <w:t>经检验，检验项目全部合格，判定为被抽查产品所检项目未发现不合格；检验项目中任一项或一项以上不合格，判定为被抽查产品不合格。</w:t>
      </w:r>
    </w:p>
    <w:p w14:paraId="483E0275">
      <w:pPr>
        <w:adjustRightInd w:val="0"/>
        <w:snapToGrid w:val="0"/>
        <w:spacing w:line="400" w:lineRule="exact"/>
        <w:ind w:firstLine="420" w:firstLineChars="200"/>
        <w:rPr>
          <w:rFonts w:hint="default" w:ascii="Times New Roman" w:hAnsi="Times New Roman" w:cs="Times New Roman"/>
          <w:color w:val="000000"/>
        </w:rPr>
      </w:pPr>
      <w:r>
        <w:rPr>
          <w:rFonts w:hint="default" w:ascii="Times New Roman" w:hAnsi="Times New Roman" w:cs="Times New Roman"/>
          <w:color w:val="000000"/>
        </w:rPr>
        <w:t>若被检产品明示的质量要求高于本细则中检验项目依据的标准要求时，应按被检产品明示的质量要求判定。</w:t>
      </w:r>
    </w:p>
    <w:p w14:paraId="22E73593">
      <w:pPr>
        <w:adjustRightInd w:val="0"/>
        <w:snapToGrid w:val="0"/>
        <w:spacing w:line="400" w:lineRule="exact"/>
        <w:ind w:firstLine="420" w:firstLineChars="200"/>
        <w:rPr>
          <w:rFonts w:hint="default" w:ascii="Times New Roman" w:hAnsi="Times New Roman" w:cs="Times New Roman"/>
          <w:color w:val="000000"/>
        </w:rPr>
      </w:pPr>
      <w:r>
        <w:rPr>
          <w:rFonts w:hint="default" w:ascii="Times New Roman" w:hAnsi="Times New Roman" w:cs="Times New Roman"/>
          <w:color w:val="000000"/>
        </w:rPr>
        <w:t>若被检产品明示的质量要求低于本细则中检验项目依据的强制性标准要求时，应按照强制性标准要求判定。</w:t>
      </w:r>
    </w:p>
    <w:p w14:paraId="3386E266">
      <w:pPr>
        <w:adjustRightInd w:val="0"/>
        <w:snapToGrid w:val="0"/>
        <w:spacing w:line="400" w:lineRule="exact"/>
        <w:ind w:firstLine="420" w:firstLineChars="200"/>
        <w:rPr>
          <w:rFonts w:hint="default" w:ascii="Times New Roman" w:hAnsi="Times New Roman" w:cs="Times New Roman"/>
          <w:color w:val="000000"/>
        </w:rPr>
      </w:pPr>
      <w:r>
        <w:rPr>
          <w:rFonts w:hint="default" w:ascii="Times New Roman" w:hAnsi="Times New Roman" w:cs="Times New Roman"/>
          <w:color w:val="000000"/>
        </w:rPr>
        <w:t>若被检产品明示的质量要求低于或包含本细则中检验项目依据的推荐性标准要求时，应以被检产品明示的质量要求判定。</w:t>
      </w:r>
    </w:p>
    <w:p w14:paraId="203006F7">
      <w:pPr>
        <w:adjustRightInd w:val="0"/>
        <w:snapToGrid w:val="0"/>
        <w:spacing w:line="400" w:lineRule="exact"/>
        <w:ind w:firstLine="420" w:firstLineChars="200"/>
        <w:rPr>
          <w:rFonts w:hint="default" w:ascii="Times New Roman" w:hAnsi="Times New Roman" w:cs="Times New Roman"/>
          <w:color w:val="000000"/>
        </w:rPr>
      </w:pPr>
      <w:r>
        <w:rPr>
          <w:rFonts w:hint="default" w:ascii="Times New Roman" w:hAnsi="Times New Roman" w:cs="Times New Roman"/>
          <w:color w:val="000000"/>
        </w:rPr>
        <w:t>若被检产品明示的质量要求缺少本细则中检验项目依据的强制性标准要求时，应按照强制性标准要求判定。</w:t>
      </w:r>
    </w:p>
    <w:p w14:paraId="22EED1E7">
      <w:pPr>
        <w:adjustRightInd w:val="0"/>
        <w:snapToGrid w:val="0"/>
        <w:spacing w:line="400" w:lineRule="exact"/>
        <w:ind w:firstLine="420" w:firstLineChars="200"/>
        <w:rPr>
          <w:rFonts w:hint="default" w:ascii="Times New Roman" w:hAnsi="Times New Roman" w:cs="Times New Roman"/>
          <w:color w:val="000000"/>
        </w:rPr>
      </w:pPr>
      <w:r>
        <w:rPr>
          <w:rFonts w:hint="default" w:ascii="Times New Roman" w:hAnsi="Times New Roman" w:cs="Times New Roman"/>
          <w:color w:val="000000"/>
        </w:rPr>
        <w:t>若被检产品明示的质量要求缺少本细则中检验项目依据的推荐性标准要求时，该项目不参与判定。</w:t>
      </w:r>
    </w:p>
    <w:p w14:paraId="19871784">
      <w:pPr>
        <w:spacing w:line="400" w:lineRule="exact"/>
        <w:rPr>
          <w:rFonts w:hint="default" w:ascii="Times New Roman" w:hAnsi="Times New Roman" w:cs="Times New Roman"/>
          <w:b/>
        </w:rPr>
      </w:pPr>
      <w:r>
        <w:rPr>
          <w:rFonts w:hint="default" w:ascii="Times New Roman" w:hAnsi="Times New Roman" w:cs="Times New Roman"/>
          <w:color w:val="000000"/>
        </w:rPr>
        <w:t>4.3 结论用语</w:t>
      </w:r>
    </w:p>
    <w:p w14:paraId="08B70883">
      <w:pPr>
        <w:spacing w:line="400" w:lineRule="exact"/>
        <w:ind w:firstLine="420" w:firstLineChars="200"/>
        <w:rPr>
          <w:rFonts w:hint="default" w:ascii="Times New Roman" w:hAnsi="Times New Roman" w:cs="Times New Roman"/>
        </w:rPr>
      </w:pPr>
      <w:r>
        <w:rPr>
          <w:rFonts w:hint="default" w:ascii="Times New Roman" w:hAnsi="Times New Roman" w:cs="Times New Roman"/>
        </w:rPr>
        <w:t>经抽样检验，所检项目符合XX标准，依据《202</w:t>
      </w:r>
      <w:r>
        <w:rPr>
          <w:rFonts w:hint="eastAsia" w:cs="Times New Roman"/>
          <w:lang w:val="en-US" w:eastAsia="zh-CN"/>
        </w:rPr>
        <w:t>6</w:t>
      </w:r>
      <w:r>
        <w:rPr>
          <w:rFonts w:hint="default" w:ascii="Times New Roman" w:hAnsi="Times New Roman" w:cs="Times New Roman"/>
        </w:rPr>
        <w:t>年六安市消防应急照明和疏散指示系统产品质量监督抽查实施细则》，判定为未发现不合格。</w:t>
      </w:r>
    </w:p>
    <w:p w14:paraId="5B2C75E9">
      <w:pPr>
        <w:spacing w:line="400" w:lineRule="exact"/>
        <w:ind w:firstLine="420" w:firstLineChars="200"/>
        <w:rPr>
          <w:rFonts w:hint="default" w:ascii="Times New Roman" w:hAnsi="Times New Roman" w:cs="Times New Roman"/>
        </w:rPr>
      </w:pPr>
      <w:r>
        <w:rPr>
          <w:rFonts w:hint="default" w:ascii="Times New Roman" w:hAnsi="Times New Roman" w:cs="Times New Roman"/>
        </w:rPr>
        <w:t>经抽样检验，XX项目不符</w:t>
      </w:r>
      <w:r>
        <w:rPr>
          <w:rFonts w:hint="default" w:ascii="Times New Roman" w:hAnsi="Times New Roman" w:cs="Times New Roman"/>
          <w:color w:val="000000"/>
        </w:rPr>
        <w:t>合</w:t>
      </w:r>
      <w:r>
        <w:rPr>
          <w:rFonts w:hint="default" w:ascii="Times New Roman" w:hAnsi="Times New Roman" w:cs="Times New Roman"/>
        </w:rPr>
        <w:t>XX</w:t>
      </w:r>
      <w:r>
        <w:rPr>
          <w:rFonts w:hint="default" w:ascii="Times New Roman" w:hAnsi="Times New Roman" w:cs="Times New Roman"/>
          <w:color w:val="000000"/>
        </w:rPr>
        <w:t>标</w:t>
      </w:r>
      <w:r>
        <w:rPr>
          <w:rFonts w:hint="default" w:ascii="Times New Roman" w:hAnsi="Times New Roman" w:cs="Times New Roman"/>
        </w:rPr>
        <w:t>准，依据《202</w:t>
      </w:r>
      <w:r>
        <w:rPr>
          <w:rFonts w:hint="default" w:ascii="Times New Roman" w:hAnsi="Times New Roman" w:cs="Times New Roman"/>
          <w:lang w:val="en-US" w:eastAsia="zh-CN"/>
        </w:rPr>
        <w:t>5</w:t>
      </w:r>
      <w:r>
        <w:rPr>
          <w:rFonts w:hint="default" w:ascii="Times New Roman" w:hAnsi="Times New Roman" w:cs="Times New Roman"/>
        </w:rPr>
        <w:t>年六安市消防应急照明和疏散指示系统</w:t>
      </w:r>
      <w:bookmarkStart w:id="1" w:name="_GoBack"/>
      <w:bookmarkEnd w:id="1"/>
      <w:r>
        <w:rPr>
          <w:rFonts w:hint="default" w:ascii="Times New Roman" w:hAnsi="Times New Roman" w:cs="Times New Roman"/>
        </w:rPr>
        <w:t>产品质量监督抽查实施细则》，判定为不合格。</w:t>
      </w:r>
    </w:p>
    <w:p w14:paraId="70E7ADB3">
      <w:pPr>
        <w:spacing w:line="400" w:lineRule="exact"/>
        <w:rPr>
          <w:rFonts w:hint="default" w:ascii="Times New Roman" w:hAnsi="Times New Roman" w:cs="Times New Roman"/>
          <w:b/>
        </w:rPr>
      </w:pPr>
      <w:r>
        <w:rPr>
          <w:rFonts w:hint="default" w:ascii="Times New Roman" w:hAnsi="Times New Roman" w:cs="Times New Roman"/>
          <w:b/>
        </w:rPr>
        <w:t>5 附则</w:t>
      </w:r>
    </w:p>
    <w:p w14:paraId="5A390D4B">
      <w:pPr>
        <w:adjustRightInd w:val="0"/>
        <w:snapToGrid w:val="0"/>
        <w:spacing w:line="440" w:lineRule="exact"/>
        <w:ind w:firstLine="417" w:firstLineChars="199"/>
        <w:rPr>
          <w:rFonts w:hint="default" w:ascii="Times New Roman" w:hAnsi="Times New Roman" w:cs="Times New Roman"/>
          <w:color w:val="000000"/>
        </w:rPr>
      </w:pPr>
      <w:r>
        <w:rPr>
          <w:rFonts w:hint="default" w:ascii="Times New Roman" w:hAnsi="Times New Roman" w:cs="Times New Roman"/>
          <w:color w:val="000000"/>
        </w:rPr>
        <w:t>本细则由安徽省产品质量监督检验研究院编制，六安市市场监督管理局管理。</w:t>
      </w:r>
    </w:p>
    <w:sectPr>
      <w:footerReference r:id="rId4" w:type="first"/>
      <w:footerReference r:id="rId3" w:type="default"/>
      <w:pgSz w:w="11906" w:h="16838"/>
      <w:pgMar w:top="1440" w:right="1800" w:bottom="1440" w:left="1800"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onospace">
    <w:altName w:val="Courier New"/>
    <w:panose1 w:val="00000000000000000000"/>
    <w:charset w:val="00"/>
    <w:family w:val="auto"/>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B49C06">
    <w:pPr>
      <w:pStyle w:val="8"/>
      <w:framePr w:wrap="around" w:vAnchor="text" w:hAnchor="margin" w:xAlign="center" w:y="1"/>
      <w:rPr>
        <w:rStyle w:val="15"/>
      </w:rPr>
    </w:pPr>
    <w:r>
      <w:rPr>
        <w:rStyle w:val="15"/>
      </w:rPr>
      <w:fldChar w:fldCharType="begin"/>
    </w:r>
    <w:r>
      <w:rPr>
        <w:rStyle w:val="15"/>
      </w:rPr>
      <w:instrText xml:space="preserve">PAGE  </w:instrText>
    </w:r>
    <w:r>
      <w:rPr>
        <w:rStyle w:val="15"/>
      </w:rPr>
      <w:fldChar w:fldCharType="separate"/>
    </w:r>
    <w:r>
      <w:rPr>
        <w:rStyle w:val="15"/>
      </w:rPr>
      <w:t>2</w:t>
    </w:r>
    <w:r>
      <w:rPr>
        <w:rStyle w:val="15"/>
      </w:rPr>
      <w:fldChar w:fldCharType="end"/>
    </w:r>
  </w:p>
  <w:p w14:paraId="401BE914">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1129FA">
    <w:pPr>
      <w:pStyle w:val="8"/>
      <w:jc w:val="center"/>
      <w:rPr>
        <w:caps/>
        <w:color w:val="4F81BD" w:themeColor="accent1"/>
        <w14:textFill>
          <w14:solidFill>
            <w14:schemeClr w14:val="accent1"/>
          </w14:solidFill>
        </w14:textFill>
      </w:rPr>
    </w:pPr>
    <w:r>
      <w:rPr>
        <w:caps/>
        <w:color w:val="4F81BD" w:themeColor="accent1"/>
        <w14:textFill>
          <w14:solidFill>
            <w14:schemeClr w14:val="accent1"/>
          </w14:solidFill>
        </w14:textFill>
      </w:rPr>
      <w:fldChar w:fldCharType="begin"/>
    </w:r>
    <w:r>
      <w:rPr>
        <w:caps/>
        <w:color w:val="4F81BD" w:themeColor="accent1"/>
        <w14:textFill>
          <w14:solidFill>
            <w14:schemeClr w14:val="accent1"/>
          </w14:solidFill>
        </w14:textFill>
      </w:rPr>
      <w:instrText xml:space="preserve">PAGE   \* MERGEFORMAT</w:instrText>
    </w:r>
    <w:r>
      <w:rPr>
        <w:caps/>
        <w:color w:val="4F81BD" w:themeColor="accent1"/>
        <w14:textFill>
          <w14:solidFill>
            <w14:schemeClr w14:val="accent1"/>
          </w14:solidFill>
        </w14:textFill>
      </w:rPr>
      <w:fldChar w:fldCharType="separate"/>
    </w:r>
    <w:r>
      <w:rPr>
        <w:caps/>
        <w:color w:val="4F81BD" w:themeColor="accent1"/>
        <w:lang w:val="zh-CN"/>
        <w14:textFill>
          <w14:solidFill>
            <w14:schemeClr w14:val="accent1"/>
          </w14:solidFill>
        </w14:textFill>
      </w:rPr>
      <w:t>1</w:t>
    </w:r>
    <w:r>
      <w:rPr>
        <w:caps/>
        <w:color w:val="4F81BD" w:themeColor="accent1"/>
        <w14:textFill>
          <w14:solidFill>
            <w14:schemeClr w14:val="accent1"/>
          </w14:solidFill>
        </w14:textFill>
      </w:rPr>
      <w:fldChar w:fldCharType="end"/>
    </w:r>
  </w:p>
  <w:p w14:paraId="335FD3E0">
    <w:pPr>
      <w:pStyle w:val="8"/>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oNotHyphenateCaps/>
  <w:drawingGridHorizontalSpacing w:val="0"/>
  <w:drawingGridVerticalSpacing w:val="156"/>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Q3ZjYwNDVlOGI3ZjkwMWJjYmYwNjY2NTcxMTE1NDQifQ=="/>
  </w:docVars>
  <w:rsids>
    <w:rsidRoot w:val="00172A27"/>
    <w:rsid w:val="00005A20"/>
    <w:rsid w:val="00034B28"/>
    <w:rsid w:val="000351D9"/>
    <w:rsid w:val="00036397"/>
    <w:rsid w:val="00040155"/>
    <w:rsid w:val="0004751E"/>
    <w:rsid w:val="00063255"/>
    <w:rsid w:val="000806EF"/>
    <w:rsid w:val="00086A23"/>
    <w:rsid w:val="000A1A2F"/>
    <w:rsid w:val="000A49F3"/>
    <w:rsid w:val="00102157"/>
    <w:rsid w:val="00104380"/>
    <w:rsid w:val="001140D2"/>
    <w:rsid w:val="00124675"/>
    <w:rsid w:val="0014700C"/>
    <w:rsid w:val="00166795"/>
    <w:rsid w:val="00172A27"/>
    <w:rsid w:val="001A26F3"/>
    <w:rsid w:val="00217AF4"/>
    <w:rsid w:val="002449DB"/>
    <w:rsid w:val="00267592"/>
    <w:rsid w:val="002904F5"/>
    <w:rsid w:val="002A68AD"/>
    <w:rsid w:val="002A75DE"/>
    <w:rsid w:val="002B077A"/>
    <w:rsid w:val="002B7064"/>
    <w:rsid w:val="002C2F25"/>
    <w:rsid w:val="002C512B"/>
    <w:rsid w:val="00303465"/>
    <w:rsid w:val="003042F4"/>
    <w:rsid w:val="003117B3"/>
    <w:rsid w:val="003122F5"/>
    <w:rsid w:val="0031572F"/>
    <w:rsid w:val="00324255"/>
    <w:rsid w:val="00350941"/>
    <w:rsid w:val="00353A78"/>
    <w:rsid w:val="00360ABF"/>
    <w:rsid w:val="00364676"/>
    <w:rsid w:val="00391605"/>
    <w:rsid w:val="003C0C0E"/>
    <w:rsid w:val="003C2376"/>
    <w:rsid w:val="003C65F2"/>
    <w:rsid w:val="003F012F"/>
    <w:rsid w:val="003F7C05"/>
    <w:rsid w:val="0041062C"/>
    <w:rsid w:val="00417AC8"/>
    <w:rsid w:val="00420831"/>
    <w:rsid w:val="0042209F"/>
    <w:rsid w:val="00431E3E"/>
    <w:rsid w:val="004560A2"/>
    <w:rsid w:val="004678B5"/>
    <w:rsid w:val="0047239B"/>
    <w:rsid w:val="004743C7"/>
    <w:rsid w:val="004A2E96"/>
    <w:rsid w:val="004B5F3C"/>
    <w:rsid w:val="004B7702"/>
    <w:rsid w:val="004C4065"/>
    <w:rsid w:val="004E6040"/>
    <w:rsid w:val="00520CB1"/>
    <w:rsid w:val="00522C50"/>
    <w:rsid w:val="00530C8F"/>
    <w:rsid w:val="005512AF"/>
    <w:rsid w:val="00564A6E"/>
    <w:rsid w:val="00584453"/>
    <w:rsid w:val="005C719E"/>
    <w:rsid w:val="00600AD2"/>
    <w:rsid w:val="00604FDB"/>
    <w:rsid w:val="00645B6E"/>
    <w:rsid w:val="00652B07"/>
    <w:rsid w:val="00661968"/>
    <w:rsid w:val="006822A8"/>
    <w:rsid w:val="00684B99"/>
    <w:rsid w:val="006B7FCA"/>
    <w:rsid w:val="006D6300"/>
    <w:rsid w:val="00700901"/>
    <w:rsid w:val="00706509"/>
    <w:rsid w:val="007226CF"/>
    <w:rsid w:val="00723B89"/>
    <w:rsid w:val="00724B03"/>
    <w:rsid w:val="00727FDD"/>
    <w:rsid w:val="0075724F"/>
    <w:rsid w:val="007808DD"/>
    <w:rsid w:val="0078145F"/>
    <w:rsid w:val="007852CC"/>
    <w:rsid w:val="007875B4"/>
    <w:rsid w:val="0079491D"/>
    <w:rsid w:val="007D10EF"/>
    <w:rsid w:val="007D1197"/>
    <w:rsid w:val="007D464E"/>
    <w:rsid w:val="007E193B"/>
    <w:rsid w:val="007E7ACB"/>
    <w:rsid w:val="00802ED9"/>
    <w:rsid w:val="00805A0E"/>
    <w:rsid w:val="00807CF8"/>
    <w:rsid w:val="00817C18"/>
    <w:rsid w:val="00821923"/>
    <w:rsid w:val="00835152"/>
    <w:rsid w:val="00837F0E"/>
    <w:rsid w:val="00855755"/>
    <w:rsid w:val="008576BF"/>
    <w:rsid w:val="00862998"/>
    <w:rsid w:val="008A6FA1"/>
    <w:rsid w:val="008B08F7"/>
    <w:rsid w:val="008C589D"/>
    <w:rsid w:val="008D1F5A"/>
    <w:rsid w:val="008E2383"/>
    <w:rsid w:val="008F0B4B"/>
    <w:rsid w:val="00903ABE"/>
    <w:rsid w:val="009147F5"/>
    <w:rsid w:val="00916139"/>
    <w:rsid w:val="009366EB"/>
    <w:rsid w:val="00941062"/>
    <w:rsid w:val="0094443E"/>
    <w:rsid w:val="009476BB"/>
    <w:rsid w:val="00950F16"/>
    <w:rsid w:val="00954A70"/>
    <w:rsid w:val="00961B11"/>
    <w:rsid w:val="00962DDF"/>
    <w:rsid w:val="009952DA"/>
    <w:rsid w:val="009A5DDE"/>
    <w:rsid w:val="009B1664"/>
    <w:rsid w:val="009C4288"/>
    <w:rsid w:val="009D7D78"/>
    <w:rsid w:val="009E45F1"/>
    <w:rsid w:val="00A016B1"/>
    <w:rsid w:val="00A1281F"/>
    <w:rsid w:val="00A4206C"/>
    <w:rsid w:val="00A4416C"/>
    <w:rsid w:val="00A50F55"/>
    <w:rsid w:val="00A92BA7"/>
    <w:rsid w:val="00AA2333"/>
    <w:rsid w:val="00AB190E"/>
    <w:rsid w:val="00AD301E"/>
    <w:rsid w:val="00AF0342"/>
    <w:rsid w:val="00AF1BB4"/>
    <w:rsid w:val="00AF5C07"/>
    <w:rsid w:val="00AF6D63"/>
    <w:rsid w:val="00B05067"/>
    <w:rsid w:val="00B1180E"/>
    <w:rsid w:val="00B46293"/>
    <w:rsid w:val="00B53172"/>
    <w:rsid w:val="00B7576B"/>
    <w:rsid w:val="00B93D5F"/>
    <w:rsid w:val="00B94024"/>
    <w:rsid w:val="00B95D86"/>
    <w:rsid w:val="00B97899"/>
    <w:rsid w:val="00BC633A"/>
    <w:rsid w:val="00BD50B9"/>
    <w:rsid w:val="00BE6444"/>
    <w:rsid w:val="00BF44E0"/>
    <w:rsid w:val="00BF6954"/>
    <w:rsid w:val="00C56BDE"/>
    <w:rsid w:val="00CB67B8"/>
    <w:rsid w:val="00CD3BA2"/>
    <w:rsid w:val="00CF0F78"/>
    <w:rsid w:val="00D26000"/>
    <w:rsid w:val="00D40532"/>
    <w:rsid w:val="00D57517"/>
    <w:rsid w:val="00D61ED2"/>
    <w:rsid w:val="00D634BD"/>
    <w:rsid w:val="00D63AC5"/>
    <w:rsid w:val="00D92628"/>
    <w:rsid w:val="00DB6F16"/>
    <w:rsid w:val="00DC7B85"/>
    <w:rsid w:val="00DF6362"/>
    <w:rsid w:val="00E0102D"/>
    <w:rsid w:val="00E01962"/>
    <w:rsid w:val="00E16EE7"/>
    <w:rsid w:val="00E40971"/>
    <w:rsid w:val="00E55F76"/>
    <w:rsid w:val="00E6068B"/>
    <w:rsid w:val="00E8287C"/>
    <w:rsid w:val="00E9268C"/>
    <w:rsid w:val="00E95EA4"/>
    <w:rsid w:val="00EA571B"/>
    <w:rsid w:val="00EC5BDF"/>
    <w:rsid w:val="00ED7FE2"/>
    <w:rsid w:val="00F315CC"/>
    <w:rsid w:val="00F42E8D"/>
    <w:rsid w:val="00F82728"/>
    <w:rsid w:val="00FB21B8"/>
    <w:rsid w:val="031943E4"/>
    <w:rsid w:val="033A014E"/>
    <w:rsid w:val="03B8557B"/>
    <w:rsid w:val="07672914"/>
    <w:rsid w:val="07F22019"/>
    <w:rsid w:val="097537AA"/>
    <w:rsid w:val="12495675"/>
    <w:rsid w:val="12E86E59"/>
    <w:rsid w:val="13045B35"/>
    <w:rsid w:val="13527085"/>
    <w:rsid w:val="157A1825"/>
    <w:rsid w:val="16E21CB9"/>
    <w:rsid w:val="18C14E5E"/>
    <w:rsid w:val="1A9E749D"/>
    <w:rsid w:val="1B103D73"/>
    <w:rsid w:val="1B41616E"/>
    <w:rsid w:val="1B6415FF"/>
    <w:rsid w:val="1CDC37CE"/>
    <w:rsid w:val="1D5239E6"/>
    <w:rsid w:val="1ED66FCF"/>
    <w:rsid w:val="20216FA3"/>
    <w:rsid w:val="22561186"/>
    <w:rsid w:val="22B840C9"/>
    <w:rsid w:val="24E848A1"/>
    <w:rsid w:val="253E3FF2"/>
    <w:rsid w:val="25AD4C1F"/>
    <w:rsid w:val="281E0104"/>
    <w:rsid w:val="29395066"/>
    <w:rsid w:val="2A223E92"/>
    <w:rsid w:val="2A560303"/>
    <w:rsid w:val="2B4C06CC"/>
    <w:rsid w:val="2B711D54"/>
    <w:rsid w:val="2C89367C"/>
    <w:rsid w:val="2CEE4744"/>
    <w:rsid w:val="2D79212A"/>
    <w:rsid w:val="2E851362"/>
    <w:rsid w:val="2F20375F"/>
    <w:rsid w:val="2F497C57"/>
    <w:rsid w:val="30DF68CE"/>
    <w:rsid w:val="35B06902"/>
    <w:rsid w:val="3667278C"/>
    <w:rsid w:val="3762738D"/>
    <w:rsid w:val="379F351A"/>
    <w:rsid w:val="389540F8"/>
    <w:rsid w:val="398423C7"/>
    <w:rsid w:val="3BC120E6"/>
    <w:rsid w:val="3BC506E1"/>
    <w:rsid w:val="3C8B41F8"/>
    <w:rsid w:val="3D1D70EF"/>
    <w:rsid w:val="3E8423B0"/>
    <w:rsid w:val="3FAC7EA4"/>
    <w:rsid w:val="3FB83E19"/>
    <w:rsid w:val="40F40103"/>
    <w:rsid w:val="41101E4C"/>
    <w:rsid w:val="45BB3CEC"/>
    <w:rsid w:val="461A6091"/>
    <w:rsid w:val="475472AD"/>
    <w:rsid w:val="480E2E7F"/>
    <w:rsid w:val="48B4421B"/>
    <w:rsid w:val="4FCF55AD"/>
    <w:rsid w:val="509F1015"/>
    <w:rsid w:val="522B5DD4"/>
    <w:rsid w:val="56A603BA"/>
    <w:rsid w:val="575E26DE"/>
    <w:rsid w:val="57FA2AB3"/>
    <w:rsid w:val="580B2CE3"/>
    <w:rsid w:val="58625F74"/>
    <w:rsid w:val="5872092A"/>
    <w:rsid w:val="5B9428B5"/>
    <w:rsid w:val="5C9B1376"/>
    <w:rsid w:val="5CBC1ADB"/>
    <w:rsid w:val="5EF9755F"/>
    <w:rsid w:val="61BD3765"/>
    <w:rsid w:val="622A33CC"/>
    <w:rsid w:val="627F1B8D"/>
    <w:rsid w:val="65C57E4D"/>
    <w:rsid w:val="668918E4"/>
    <w:rsid w:val="682C38BA"/>
    <w:rsid w:val="69642122"/>
    <w:rsid w:val="69BA397D"/>
    <w:rsid w:val="6A3D00DC"/>
    <w:rsid w:val="6A8A174C"/>
    <w:rsid w:val="6AD47CD8"/>
    <w:rsid w:val="6BCC1AEC"/>
    <w:rsid w:val="6CE3305F"/>
    <w:rsid w:val="6D9745DB"/>
    <w:rsid w:val="6E7375F4"/>
    <w:rsid w:val="75B310A7"/>
    <w:rsid w:val="76D23F5B"/>
    <w:rsid w:val="78264A9F"/>
    <w:rsid w:val="78EF17CC"/>
    <w:rsid w:val="7B537873"/>
    <w:rsid w:val="7B8761A7"/>
    <w:rsid w:val="7F310E5E"/>
    <w:rsid w:val="7F921A71"/>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nhideWhenUsed="0" w:uiPriority="1" w:semiHidden="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qFormat="1"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99" w:semiHidden="0" w:name="Emphasis"/>
    <w:lsdException w:uiPriority="99" w:name="Document Map"/>
    <w:lsdException w:uiPriority="99" w:name="Plain Text"/>
    <w:lsdException w:uiPriority="99" w:name="E-mail Signature"/>
    <w:lsdException w:uiPriority="99" w:name="Normal (Web)"/>
    <w:lsdException w:qFormat="1" w:unhideWhenUsed="0" w:uiPriority="99" w:semiHidden="0" w:name="HTML Acronym"/>
    <w:lsdException w:uiPriority="99" w:name="HTML Address"/>
    <w:lsdException w:qFormat="1" w:unhideWhenUsed="0" w:uiPriority="99" w:semiHidden="0" w:name="HTML Cite"/>
    <w:lsdException w:qFormat="1" w:unhideWhenUsed="0" w:uiPriority="99" w:semiHidden="0" w:name="HTML Code"/>
    <w:lsdException w:qFormat="1" w:unhideWhenUsed="0" w:uiPriority="99" w:semiHidden="0" w:name="HTML Definition"/>
    <w:lsdException w:qFormat="1" w:unhideWhenUsed="0" w:uiPriority="99" w:semiHidden="0" w:name="HTML Keyboard"/>
    <w:lsdException w:uiPriority="99" w:name="HTML Preformatted"/>
    <w:lsdException w:qFormat="1" w:unhideWhenUsed="0" w:uiPriority="99" w:semiHidden="0" w:name="HTML Sample"/>
    <w:lsdException w:uiPriority="99" w:name="HTML Typewriter"/>
    <w:lsdException w:qFormat="1" w:unhideWhenUsed="0" w:uiPriority="99" w:semiHidden="0"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3">
    <w:name w:val="heading 1"/>
    <w:basedOn w:val="1"/>
    <w:next w:val="1"/>
    <w:link w:val="27"/>
    <w:qFormat/>
    <w:uiPriority w:val="99"/>
    <w:pPr>
      <w:jc w:val="left"/>
      <w:outlineLvl w:val="0"/>
    </w:pPr>
    <w:rPr>
      <w:rFonts w:ascii="宋体" w:hAnsi="宋体" w:cs="宋体"/>
      <w:b/>
      <w:bCs/>
      <w:color w:val="333333"/>
      <w:kern w:val="44"/>
      <w:sz w:val="30"/>
      <w:szCs w:val="30"/>
    </w:rPr>
  </w:style>
  <w:style w:type="paragraph" w:styleId="4">
    <w:name w:val="heading 4"/>
    <w:basedOn w:val="1"/>
    <w:next w:val="1"/>
    <w:qFormat/>
    <w:locked/>
    <w:uiPriority w:val="1"/>
    <w:pPr>
      <w:spacing w:before="7"/>
      <w:ind w:left="148"/>
      <w:jc w:val="left"/>
      <w:outlineLvl w:val="3"/>
    </w:pPr>
    <w:rPr>
      <w:rFonts w:ascii="宋体" w:hAnsi="宋体"/>
      <w:b/>
      <w:bCs/>
      <w:kern w:val="0"/>
      <w:lang w:eastAsia="en-US"/>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toa heading"/>
    <w:basedOn w:val="1"/>
    <w:next w:val="1"/>
    <w:semiHidden/>
    <w:unhideWhenUsed/>
    <w:qFormat/>
    <w:uiPriority w:val="99"/>
    <w:pPr>
      <w:spacing w:before="120" w:beforeLines="0" w:beforeAutospacing="0"/>
    </w:pPr>
    <w:rPr>
      <w:rFonts w:ascii="Arial" w:hAnsi="Arial"/>
      <w:sz w:val="24"/>
    </w:rPr>
  </w:style>
  <w:style w:type="paragraph" w:styleId="5">
    <w:name w:val="annotation text"/>
    <w:basedOn w:val="1"/>
    <w:link w:val="52"/>
    <w:semiHidden/>
    <w:qFormat/>
    <w:uiPriority w:val="99"/>
    <w:pPr>
      <w:jc w:val="left"/>
    </w:pPr>
  </w:style>
  <w:style w:type="paragraph" w:styleId="6">
    <w:name w:val="Body Text"/>
    <w:basedOn w:val="1"/>
    <w:qFormat/>
    <w:uiPriority w:val="0"/>
    <w:pPr>
      <w:snapToGrid w:val="0"/>
      <w:spacing w:line="440" w:lineRule="exact"/>
    </w:pPr>
    <w:rPr>
      <w:rFonts w:ascii="宋体" w:hAnsi="宋体"/>
      <w:color w:val="FF0000"/>
      <w:sz w:val="18"/>
    </w:rPr>
  </w:style>
  <w:style w:type="paragraph" w:styleId="7">
    <w:name w:val="Balloon Text"/>
    <w:basedOn w:val="1"/>
    <w:link w:val="50"/>
    <w:semiHidden/>
    <w:qFormat/>
    <w:uiPriority w:val="99"/>
    <w:rPr>
      <w:sz w:val="18"/>
      <w:szCs w:val="18"/>
    </w:rPr>
  </w:style>
  <w:style w:type="paragraph" w:styleId="8">
    <w:name w:val="footer"/>
    <w:basedOn w:val="1"/>
    <w:link w:val="54"/>
    <w:qFormat/>
    <w:uiPriority w:val="99"/>
    <w:pPr>
      <w:tabs>
        <w:tab w:val="center" w:pos="4153"/>
        <w:tab w:val="right" w:pos="8306"/>
      </w:tabs>
      <w:snapToGrid w:val="0"/>
      <w:jc w:val="left"/>
    </w:pPr>
    <w:rPr>
      <w:sz w:val="18"/>
      <w:szCs w:val="18"/>
    </w:rPr>
  </w:style>
  <w:style w:type="paragraph" w:styleId="9">
    <w:name w:val="header"/>
    <w:basedOn w:val="1"/>
    <w:link w:val="51"/>
    <w:qFormat/>
    <w:uiPriority w:val="99"/>
    <w:pPr>
      <w:pBdr>
        <w:bottom w:val="single" w:color="auto" w:sz="6" w:space="1"/>
      </w:pBdr>
      <w:tabs>
        <w:tab w:val="center" w:pos="4153"/>
        <w:tab w:val="right" w:pos="8306"/>
      </w:tabs>
      <w:snapToGrid w:val="0"/>
      <w:jc w:val="center"/>
    </w:pPr>
    <w:rPr>
      <w:sz w:val="18"/>
      <w:szCs w:val="18"/>
    </w:rPr>
  </w:style>
  <w:style w:type="paragraph" w:styleId="10">
    <w:name w:val="annotation subject"/>
    <w:basedOn w:val="5"/>
    <w:next w:val="5"/>
    <w:link w:val="53"/>
    <w:semiHidden/>
    <w:qFormat/>
    <w:uiPriority w:val="99"/>
    <w:rPr>
      <w:b/>
      <w:bCs/>
    </w:rPr>
  </w:style>
  <w:style w:type="table" w:styleId="12">
    <w:name w:val="Table Grid"/>
    <w:basedOn w:val="11"/>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99"/>
    <w:rPr>
      <w:b/>
      <w:bCs/>
    </w:rPr>
  </w:style>
  <w:style w:type="character" w:styleId="15">
    <w:name w:val="page number"/>
    <w:basedOn w:val="13"/>
    <w:qFormat/>
    <w:uiPriority w:val="99"/>
  </w:style>
  <w:style w:type="character" w:styleId="16">
    <w:name w:val="FollowedHyperlink"/>
    <w:basedOn w:val="13"/>
    <w:qFormat/>
    <w:uiPriority w:val="99"/>
    <w:rPr>
      <w:color w:val="auto"/>
      <w:u w:val="none"/>
    </w:rPr>
  </w:style>
  <w:style w:type="character" w:styleId="17">
    <w:name w:val="Emphasis"/>
    <w:basedOn w:val="13"/>
    <w:qFormat/>
    <w:uiPriority w:val="99"/>
    <w:rPr>
      <w:i/>
      <w:iCs/>
    </w:rPr>
  </w:style>
  <w:style w:type="character" w:styleId="18">
    <w:name w:val="HTML Definition"/>
    <w:basedOn w:val="13"/>
    <w:qFormat/>
    <w:uiPriority w:val="99"/>
  </w:style>
  <w:style w:type="character" w:styleId="19">
    <w:name w:val="HTML Acronym"/>
    <w:basedOn w:val="13"/>
    <w:qFormat/>
    <w:uiPriority w:val="99"/>
  </w:style>
  <w:style w:type="character" w:styleId="20">
    <w:name w:val="HTML Variable"/>
    <w:basedOn w:val="13"/>
    <w:qFormat/>
    <w:uiPriority w:val="99"/>
  </w:style>
  <w:style w:type="character" w:styleId="21">
    <w:name w:val="Hyperlink"/>
    <w:basedOn w:val="13"/>
    <w:qFormat/>
    <w:uiPriority w:val="99"/>
    <w:rPr>
      <w:color w:val="auto"/>
      <w:u w:val="none"/>
    </w:rPr>
  </w:style>
  <w:style w:type="character" w:styleId="22">
    <w:name w:val="HTML Code"/>
    <w:basedOn w:val="13"/>
    <w:qFormat/>
    <w:uiPriority w:val="99"/>
    <w:rPr>
      <w:rFonts w:ascii="monospace" w:hAnsi="monospace" w:eastAsia="Times New Roman" w:cs="monospace"/>
      <w:sz w:val="24"/>
      <w:szCs w:val="24"/>
    </w:rPr>
  </w:style>
  <w:style w:type="character" w:styleId="23">
    <w:name w:val="annotation reference"/>
    <w:basedOn w:val="13"/>
    <w:semiHidden/>
    <w:qFormat/>
    <w:uiPriority w:val="99"/>
    <w:rPr>
      <w:sz w:val="21"/>
      <w:szCs w:val="21"/>
    </w:rPr>
  </w:style>
  <w:style w:type="character" w:styleId="24">
    <w:name w:val="HTML Cite"/>
    <w:basedOn w:val="13"/>
    <w:qFormat/>
    <w:uiPriority w:val="99"/>
  </w:style>
  <w:style w:type="character" w:styleId="25">
    <w:name w:val="HTML Keyboard"/>
    <w:basedOn w:val="13"/>
    <w:qFormat/>
    <w:uiPriority w:val="99"/>
    <w:rPr>
      <w:rFonts w:ascii="monospace" w:hAnsi="monospace" w:eastAsia="Times New Roman" w:cs="monospace"/>
      <w:sz w:val="24"/>
      <w:szCs w:val="24"/>
    </w:rPr>
  </w:style>
  <w:style w:type="character" w:styleId="26">
    <w:name w:val="HTML Sample"/>
    <w:basedOn w:val="13"/>
    <w:qFormat/>
    <w:uiPriority w:val="99"/>
    <w:rPr>
      <w:rFonts w:ascii="monospace" w:hAnsi="monospace" w:eastAsia="Times New Roman" w:cs="monospace"/>
      <w:sz w:val="24"/>
      <w:szCs w:val="24"/>
    </w:rPr>
  </w:style>
  <w:style w:type="character" w:customStyle="1" w:styleId="27">
    <w:name w:val="标题 1 Char"/>
    <w:basedOn w:val="13"/>
    <w:link w:val="3"/>
    <w:qFormat/>
    <w:uiPriority w:val="9"/>
    <w:rPr>
      <w:b/>
      <w:bCs/>
      <w:kern w:val="44"/>
      <w:sz w:val="44"/>
      <w:szCs w:val="44"/>
    </w:rPr>
  </w:style>
  <w:style w:type="character" w:customStyle="1" w:styleId="28">
    <w:name w:val="bds_more1"/>
    <w:basedOn w:val="13"/>
    <w:qFormat/>
    <w:uiPriority w:val="99"/>
  </w:style>
  <w:style w:type="character" w:customStyle="1" w:styleId="29">
    <w:name w:val="org_name2"/>
    <w:basedOn w:val="13"/>
    <w:qFormat/>
    <w:uiPriority w:val="99"/>
  </w:style>
  <w:style w:type="character" w:customStyle="1" w:styleId="30">
    <w:name w:val="no5"/>
    <w:basedOn w:val="13"/>
    <w:qFormat/>
    <w:uiPriority w:val="99"/>
  </w:style>
  <w:style w:type="character" w:customStyle="1" w:styleId="31">
    <w:name w:val="Comment Text Char"/>
    <w:basedOn w:val="13"/>
    <w:qFormat/>
    <w:locked/>
    <w:uiPriority w:val="99"/>
    <w:rPr>
      <w:kern w:val="2"/>
      <w:sz w:val="24"/>
      <w:szCs w:val="24"/>
    </w:rPr>
  </w:style>
  <w:style w:type="character" w:customStyle="1" w:styleId="32">
    <w:name w:val="bds_nopic"/>
    <w:basedOn w:val="13"/>
    <w:qFormat/>
    <w:uiPriority w:val="99"/>
  </w:style>
  <w:style w:type="character" w:customStyle="1" w:styleId="33">
    <w:name w:val="bds_more"/>
    <w:basedOn w:val="13"/>
    <w:qFormat/>
    <w:uiPriority w:val="99"/>
  </w:style>
  <w:style w:type="character" w:customStyle="1" w:styleId="34">
    <w:name w:val="ui-bz-bg-hover"/>
    <w:basedOn w:val="13"/>
    <w:qFormat/>
    <w:uiPriority w:val="99"/>
    <w:rPr>
      <w:shd w:val="clear" w:color="auto" w:fill="000000"/>
    </w:rPr>
  </w:style>
  <w:style w:type="character" w:customStyle="1" w:styleId="35">
    <w:name w:val="f-star"/>
    <w:basedOn w:val="13"/>
    <w:qFormat/>
    <w:uiPriority w:val="99"/>
    <w:rPr>
      <w:color w:val="auto"/>
      <w:sz w:val="21"/>
      <w:szCs w:val="21"/>
    </w:rPr>
  </w:style>
  <w:style w:type="character" w:customStyle="1" w:styleId="36">
    <w:name w:val="ui-bz-bg-hover1"/>
    <w:basedOn w:val="13"/>
    <w:qFormat/>
    <w:uiPriority w:val="99"/>
  </w:style>
  <w:style w:type="character" w:customStyle="1" w:styleId="37">
    <w:name w:val="my-class2"/>
    <w:basedOn w:val="13"/>
    <w:qFormat/>
    <w:uiPriority w:val="99"/>
  </w:style>
  <w:style w:type="character" w:customStyle="1" w:styleId="38">
    <w:name w:val="orange"/>
    <w:basedOn w:val="13"/>
    <w:qFormat/>
    <w:uiPriority w:val="99"/>
    <w:rPr>
      <w:color w:val="auto"/>
    </w:rPr>
  </w:style>
  <w:style w:type="character" w:customStyle="1" w:styleId="39">
    <w:name w:val="no42"/>
    <w:basedOn w:val="13"/>
    <w:qFormat/>
    <w:uiPriority w:val="99"/>
  </w:style>
  <w:style w:type="character" w:customStyle="1" w:styleId="40">
    <w:name w:val="bds_nopic2"/>
    <w:basedOn w:val="13"/>
    <w:qFormat/>
    <w:uiPriority w:val="99"/>
  </w:style>
  <w:style w:type="character" w:customStyle="1" w:styleId="41">
    <w:name w:val="no72"/>
    <w:basedOn w:val="13"/>
    <w:qFormat/>
    <w:uiPriority w:val="99"/>
  </w:style>
  <w:style w:type="character" w:customStyle="1" w:styleId="42">
    <w:name w:val="tip"/>
    <w:basedOn w:val="13"/>
    <w:qFormat/>
    <w:uiPriority w:val="99"/>
    <w:rPr>
      <w:vanish/>
      <w:color w:val="FF0000"/>
      <w:sz w:val="18"/>
      <w:szCs w:val="18"/>
    </w:rPr>
  </w:style>
  <w:style w:type="character" w:customStyle="1" w:styleId="43">
    <w:name w:val="bds_nopic1"/>
    <w:basedOn w:val="13"/>
    <w:qFormat/>
    <w:uiPriority w:val="99"/>
  </w:style>
  <w:style w:type="character" w:customStyle="1" w:styleId="44">
    <w:name w:val="no62"/>
    <w:basedOn w:val="13"/>
    <w:qFormat/>
    <w:uiPriority w:val="99"/>
  </w:style>
  <w:style w:type="character" w:customStyle="1" w:styleId="45">
    <w:name w:val="my-notice1"/>
    <w:basedOn w:val="13"/>
    <w:qFormat/>
    <w:uiPriority w:val="99"/>
  </w:style>
  <w:style w:type="character" w:customStyle="1" w:styleId="46">
    <w:name w:val="Comment Subject Char"/>
    <w:basedOn w:val="31"/>
    <w:qFormat/>
    <w:locked/>
    <w:uiPriority w:val="99"/>
    <w:rPr>
      <w:b/>
      <w:bCs/>
      <w:kern w:val="2"/>
      <w:sz w:val="24"/>
      <w:szCs w:val="24"/>
    </w:rPr>
  </w:style>
  <w:style w:type="character" w:customStyle="1" w:styleId="47">
    <w:name w:val="top-icon"/>
    <w:basedOn w:val="13"/>
    <w:qFormat/>
    <w:uiPriority w:val="99"/>
  </w:style>
  <w:style w:type="character" w:customStyle="1" w:styleId="48">
    <w:name w:val="t-tag"/>
    <w:basedOn w:val="13"/>
    <w:qFormat/>
    <w:uiPriority w:val="99"/>
    <w:rPr>
      <w:color w:val="FFFFFF"/>
      <w:sz w:val="18"/>
      <w:szCs w:val="18"/>
      <w:shd w:val="clear" w:color="auto" w:fill="auto"/>
    </w:rPr>
  </w:style>
  <w:style w:type="character" w:customStyle="1" w:styleId="49">
    <w:name w:val="Balloon Text Char"/>
    <w:basedOn w:val="13"/>
    <w:qFormat/>
    <w:locked/>
    <w:uiPriority w:val="99"/>
    <w:rPr>
      <w:kern w:val="2"/>
      <w:sz w:val="18"/>
      <w:szCs w:val="18"/>
    </w:rPr>
  </w:style>
  <w:style w:type="character" w:customStyle="1" w:styleId="50">
    <w:name w:val="批注框文本 Char"/>
    <w:basedOn w:val="13"/>
    <w:link w:val="7"/>
    <w:semiHidden/>
    <w:qFormat/>
    <w:uiPriority w:val="99"/>
    <w:rPr>
      <w:sz w:val="0"/>
      <w:szCs w:val="0"/>
    </w:rPr>
  </w:style>
  <w:style w:type="character" w:customStyle="1" w:styleId="51">
    <w:name w:val="页眉 Char"/>
    <w:basedOn w:val="13"/>
    <w:link w:val="9"/>
    <w:semiHidden/>
    <w:qFormat/>
    <w:uiPriority w:val="99"/>
    <w:rPr>
      <w:sz w:val="18"/>
      <w:szCs w:val="18"/>
    </w:rPr>
  </w:style>
  <w:style w:type="character" w:customStyle="1" w:styleId="52">
    <w:name w:val="批注文字 Char"/>
    <w:basedOn w:val="13"/>
    <w:link w:val="5"/>
    <w:semiHidden/>
    <w:qFormat/>
    <w:uiPriority w:val="99"/>
    <w:rPr>
      <w:szCs w:val="21"/>
    </w:rPr>
  </w:style>
  <w:style w:type="character" w:customStyle="1" w:styleId="53">
    <w:name w:val="批注主题 Char"/>
    <w:basedOn w:val="31"/>
    <w:link w:val="10"/>
    <w:semiHidden/>
    <w:qFormat/>
    <w:uiPriority w:val="99"/>
    <w:rPr>
      <w:b/>
      <w:bCs/>
      <w:kern w:val="2"/>
      <w:sz w:val="24"/>
      <w:szCs w:val="21"/>
    </w:rPr>
  </w:style>
  <w:style w:type="character" w:customStyle="1" w:styleId="54">
    <w:name w:val="页脚 Char"/>
    <w:basedOn w:val="13"/>
    <w:link w:val="8"/>
    <w:qFormat/>
    <w:uiPriority w:val="99"/>
    <w:rPr>
      <w:sz w:val="18"/>
      <w:szCs w:val="18"/>
    </w:rPr>
  </w:style>
  <w:style w:type="paragraph" w:customStyle="1" w:styleId="55">
    <w:name w:val="Char"/>
    <w:basedOn w:val="1"/>
    <w:qFormat/>
    <w:uiPriority w:val="99"/>
    <w:pPr>
      <w:widowControl/>
      <w:spacing w:after="160" w:line="240" w:lineRule="exact"/>
      <w:jc w:val="left"/>
    </w:pPr>
  </w:style>
  <w:style w:type="paragraph" w:customStyle="1" w:styleId="56">
    <w:name w:val="Char1"/>
    <w:basedOn w:val="1"/>
    <w:qFormat/>
    <w:uiPriority w:val="99"/>
    <w:pPr>
      <w:widowControl/>
      <w:spacing w:after="160" w:line="240" w:lineRule="exact"/>
      <w:jc w:val="left"/>
    </w:pPr>
  </w:style>
  <w:style w:type="paragraph" w:customStyle="1" w:styleId="57">
    <w:name w:val="Table Paragraph"/>
    <w:basedOn w:val="1"/>
    <w:qFormat/>
    <w:uiPriority w:val="1"/>
    <w:pPr>
      <w:jc w:val="left"/>
    </w:pPr>
    <w:rPr>
      <w:rFonts w:ascii="Calibri" w:hAnsi="Calibri"/>
      <w:kern w:val="0"/>
      <w:sz w:val="22"/>
      <w:szCs w:val="22"/>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2</Pages>
  <Words>1142</Words>
  <Characters>1314</Characters>
  <Lines>67</Lines>
  <Paragraphs>60</Paragraphs>
  <TotalTime>1</TotalTime>
  <ScaleCrop>false</ScaleCrop>
  <LinksUpToDate>false</LinksUpToDate>
  <CharactersWithSpaces>1340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2021-06-03T06:08:00Z</dcterms:created>
  <dc:creator>User</dc:creator>
  <cp:lastModifiedBy>何玲玲</cp:lastModifiedBy>
  <cp:lastPrinted>2019-01-25T07:39:00Z</cp:lastPrinted>
  <dcterms:modified xsi:type="dcterms:W3CDTF">2026-04-16T08:31:38Z</dcterms:modified>
  <dc:title>资料一：送审稿</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A34A880404BB46D09627B274EA8F2C0C_13</vt:lpwstr>
  </property>
  <property fmtid="{D5CDD505-2E9C-101B-9397-08002B2CF9AE}" pid="4" name="KSOTemplateDocerSaveRecord">
    <vt:lpwstr>eyJoZGlkIjoiN2ZkMDI2ZTFkZjg5MzYyYjkzMzEwOGQ3OTU1NGNlNjciLCJ1c2VySWQiOiI1MDA1MjE5MjkifQ==</vt:lpwstr>
  </property>
</Properties>
</file>