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8FC82">
      <w:pPr>
        <w:spacing w:line="440" w:lineRule="exact"/>
        <w:jc w:val="center"/>
        <w:rPr>
          <w:rFonts w:hint="eastAsia" w:ascii="黑体" w:hAnsi="宋体" w:eastAsia="黑体" w:cs="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6</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val="en-US" w:eastAsia="zh-CN"/>
          <w14:textFill>
            <w14:solidFill>
              <w14:schemeClr w14:val="tx1"/>
            </w14:solidFill>
          </w14:textFill>
        </w:rPr>
        <w:t>六安</w:t>
      </w:r>
      <w:r>
        <w:rPr>
          <w:rFonts w:hint="eastAsia" w:ascii="黑体" w:hAnsi="宋体" w:eastAsia="黑体" w:cs="黑体"/>
          <w:color w:val="000000" w:themeColor="text1"/>
          <w:sz w:val="32"/>
          <w:szCs w:val="32"/>
          <w14:textFill>
            <w14:solidFill>
              <w14:schemeClr w14:val="tx1"/>
            </w14:solidFill>
          </w14:textFill>
        </w:rPr>
        <w:t>市涂料（含防水涂料、防火涂料）</w:t>
      </w:r>
    </w:p>
    <w:p w14:paraId="4E4669DA">
      <w:pPr>
        <w:spacing w:line="440" w:lineRule="exact"/>
        <w:jc w:val="center"/>
        <w:rPr>
          <w:rFonts w:ascii="黑体" w:hAnsi="宋体" w:eastAsia="黑体" w:cs="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val="en-US" w:eastAsia="zh-CN"/>
          <w14:textFill>
            <w14:solidFill>
              <w14:schemeClr w14:val="tx1"/>
            </w14:solidFill>
          </w14:textFill>
        </w:rPr>
        <w:t>等</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7F51461D">
      <w:pPr>
        <w:spacing w:line="440" w:lineRule="exact"/>
        <w:jc w:val="center"/>
        <w:rPr>
          <w:rFonts w:ascii="黑体" w:hAnsi="宋体" w:eastAsia="黑体"/>
          <w:color w:val="000000" w:themeColor="text1"/>
          <w:sz w:val="32"/>
          <w:szCs w:val="32"/>
          <w14:textFill>
            <w14:solidFill>
              <w14:schemeClr w14:val="tx1"/>
            </w14:solidFill>
          </w14:textFill>
        </w:rPr>
      </w:pPr>
    </w:p>
    <w:p w14:paraId="7FC3FC47">
      <w:pPr>
        <w:spacing w:line="400" w:lineRule="exact"/>
        <w:rPr>
          <w:rFonts w:ascii="黑体" w:hAnsi="黑体" w:eastAsia="黑体" w:cs="黑体"/>
          <w:bCs/>
        </w:rPr>
      </w:pPr>
      <w:r>
        <w:rPr>
          <w:rFonts w:hint="eastAsia" w:ascii="黑体" w:hAnsi="黑体" w:eastAsia="黑体" w:cs="黑体"/>
          <w:bCs/>
        </w:rPr>
        <w:t>1 抽样方法</w:t>
      </w:r>
    </w:p>
    <w:p w14:paraId="3105A35B">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06945E21">
      <w:pPr>
        <w:adjustRightInd w:val="0"/>
        <w:snapToGrid w:val="0"/>
        <w:spacing w:line="440" w:lineRule="exact"/>
        <w:ind w:firstLine="420" w:firstLineChars="200"/>
        <w:rPr>
          <w:color w:val="000000"/>
        </w:rPr>
      </w:pPr>
      <w:r>
        <w:rPr>
          <w:rFonts w:hint="eastAsia"/>
          <w:color w:val="000000"/>
        </w:rPr>
        <w:t>随机数一般可使用随机数表等方法产生。</w:t>
      </w:r>
    </w:p>
    <w:p w14:paraId="45DA00D0">
      <w:pPr>
        <w:spacing w:line="440" w:lineRule="exact"/>
        <w:ind w:firstLine="420" w:firstLineChars="200"/>
        <w:rPr>
          <w:rFonts w:ascii="宋体" w:hAnsi="宋体"/>
          <w:color w:val="000000"/>
        </w:rPr>
      </w:pPr>
      <w:r>
        <w:rPr>
          <w:rFonts w:hint="eastAsia" w:ascii="宋体" w:hAnsi="宋体"/>
          <w:color w:val="000000"/>
        </w:rPr>
        <w:t>抽取样品应为</w:t>
      </w:r>
      <w:r>
        <w:rPr>
          <w:rFonts w:ascii="宋体" w:hAnsi="宋体"/>
          <w:color w:val="000000"/>
        </w:rPr>
        <w:t>同一型号规格、同一批次</w:t>
      </w:r>
      <w:r>
        <w:rPr>
          <w:rFonts w:hint="eastAsia" w:ascii="宋体" w:hAnsi="宋体"/>
          <w:color w:val="000000"/>
        </w:rPr>
        <w:t>。抽取样品的保质期（有效期）应当满足异议复检的时限需要。</w:t>
      </w:r>
    </w:p>
    <w:p w14:paraId="5CBF8FBA">
      <w:pPr>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lang w:eastAsia="zh-CN"/>
        </w:rPr>
        <w:t>对于涂料和建筑用胶粘剂产品，</w:t>
      </w:r>
      <w:r>
        <w:rPr>
          <w:rFonts w:asciiTheme="minorEastAsia" w:hAnsiTheme="minorEastAsia" w:eastAsiaTheme="minorEastAsia"/>
          <w:szCs w:val="21"/>
        </w:rPr>
        <w:t>抽取2份样品，</w:t>
      </w:r>
      <w:r>
        <w:rPr>
          <w:rFonts w:asciiTheme="minorEastAsia" w:hAnsiTheme="minorEastAsia" w:eastAsiaTheme="minorEastAsia"/>
        </w:rPr>
        <w:t>每份不少于</w:t>
      </w:r>
      <w:r>
        <w:rPr>
          <w:rFonts w:hint="eastAsia" w:asciiTheme="minorEastAsia" w:hAnsiTheme="minorEastAsia" w:eastAsiaTheme="minorEastAsia"/>
        </w:rPr>
        <w:t>1</w:t>
      </w:r>
      <w:r>
        <w:rPr>
          <w:rFonts w:asciiTheme="minorEastAsia" w:hAnsiTheme="minorEastAsia" w:eastAsiaTheme="minorEastAsia"/>
        </w:rPr>
        <w:t>kg</w:t>
      </w:r>
      <w:r>
        <w:rPr>
          <w:rFonts w:hint="eastAsia" w:asciiTheme="minorEastAsia" w:hAnsiTheme="minorEastAsia" w:eastAsiaTheme="minorEastAsia"/>
          <w:lang w:eastAsia="zh-CN"/>
        </w:rPr>
        <w:t>（或</w:t>
      </w:r>
      <w:r>
        <w:rPr>
          <w:rFonts w:hint="eastAsia" w:asciiTheme="minorEastAsia" w:hAnsiTheme="minorEastAsia" w:eastAsiaTheme="minorEastAsia"/>
          <w:lang w:val="en-US" w:eastAsia="zh-CN"/>
        </w:rPr>
        <w:t>1L</w:t>
      </w:r>
      <w:r>
        <w:rPr>
          <w:rFonts w:hint="eastAsia" w:asciiTheme="minorEastAsia" w:hAnsiTheme="minorEastAsia" w:eastAsiaTheme="minorEastAsia"/>
          <w:lang w:eastAsia="zh-CN"/>
        </w:rPr>
        <w:t>）</w:t>
      </w:r>
      <w:r>
        <w:rPr>
          <w:rFonts w:asciiTheme="minorEastAsia" w:hAnsiTheme="minorEastAsia" w:eastAsiaTheme="minorEastAsia"/>
        </w:rPr>
        <w:t>，</w:t>
      </w:r>
      <w:r>
        <w:rPr>
          <w:rFonts w:asciiTheme="minorEastAsia" w:hAnsiTheme="minorEastAsia" w:eastAsiaTheme="minorEastAsia"/>
          <w:szCs w:val="21"/>
        </w:rPr>
        <w:t>一份为检验样品，一份为备用样品。</w:t>
      </w:r>
    </w:p>
    <w:p w14:paraId="4AE4E605">
      <w:pPr>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当独立包装产品质量小于5kg时，应尽量整包装抽取，避免分装。</w:t>
      </w:r>
    </w:p>
    <w:p w14:paraId="0BEAF5C6">
      <w:pPr>
        <w:snapToGrid w:val="0"/>
        <w:spacing w:line="400" w:lineRule="exact"/>
        <w:ind w:firstLine="420" w:firstLineChars="200"/>
        <w:rPr>
          <w:rFonts w:hint="eastAsia" w:ascii="宋体" w:hAnsi="宋体" w:cs="方正仿宋简体"/>
        </w:rPr>
      </w:pPr>
      <w:r>
        <w:rPr>
          <w:rFonts w:hint="eastAsia" w:asciiTheme="minorEastAsia" w:hAnsiTheme="minorEastAsia" w:eastAsiaTheme="minorEastAsia"/>
          <w:szCs w:val="21"/>
        </w:rPr>
        <w:t>当独立包装产品质量大于5kg时，搅拌均匀后抽取样品，用液体取样勺取样，在一个清洁、干燥的容器中混合，尽快取出两份均匀样品，每份样品至少1kg，然后将样品装入洁净、密封的容器。配套产品按照配比抽取适量样品。</w:t>
      </w:r>
      <w:r>
        <w:rPr>
          <w:rFonts w:hint="eastAsia" w:ascii="宋体" w:hAnsi="宋体" w:cs="方正仿宋简体"/>
        </w:rPr>
        <w:t>（流通流域抽样时</w:t>
      </w:r>
      <w:r>
        <w:rPr>
          <w:rFonts w:hint="eastAsia"/>
          <w:szCs w:val="21"/>
        </w:rPr>
        <w:t>整包装抽取，避免分装</w:t>
      </w:r>
      <w:r>
        <w:rPr>
          <w:rFonts w:hint="eastAsia" w:ascii="宋体" w:hAnsi="宋体" w:cs="方正仿宋简体"/>
        </w:rPr>
        <w:t>）</w:t>
      </w:r>
    </w:p>
    <w:p w14:paraId="7D9E3CF6">
      <w:pPr>
        <w:spacing w:line="400" w:lineRule="exact"/>
        <w:rPr>
          <w:rFonts w:ascii="黑体" w:hAnsi="黑体" w:eastAsia="黑体" w:cs="黑体"/>
          <w:bCs/>
        </w:rPr>
      </w:pPr>
      <w:r>
        <w:rPr>
          <w:rFonts w:hint="eastAsia" w:ascii="黑体" w:hAnsi="黑体" w:eastAsia="黑体" w:cs="黑体"/>
          <w:bCs/>
        </w:rPr>
        <w:t>2 检验依据</w:t>
      </w:r>
    </w:p>
    <w:p w14:paraId="3C8201D0">
      <w:pPr>
        <w:snapToGrid w:val="0"/>
        <w:spacing w:line="400" w:lineRule="exact"/>
        <w:jc w:val="center"/>
        <w:rPr>
          <w:rFonts w:ascii="宋体" w:hAnsi="宋体" w:cs="宋体"/>
        </w:rPr>
      </w:pPr>
      <w:r>
        <w:rPr>
          <w:rFonts w:hint="eastAsia" w:ascii="宋体" w:hAnsi="宋体" w:cs="宋体"/>
        </w:rPr>
        <w:t>检验项目及</w:t>
      </w:r>
      <w:r>
        <w:rPr>
          <w:rFonts w:hint="eastAsia" w:ascii="宋体" w:hAnsi="宋体"/>
        </w:rPr>
        <w:t>检测方法</w:t>
      </w:r>
      <w:r>
        <w:rPr>
          <w:rFonts w:hint="eastAsia" w:ascii="宋体" w:hAnsi="宋体" w:cs="宋体"/>
        </w:rPr>
        <w:t xml:space="preserve"> </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3624"/>
        <w:gridCol w:w="4115"/>
      </w:tblGrid>
      <w:tr w14:paraId="21C13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032" w:type="dxa"/>
            <w:vAlign w:val="center"/>
          </w:tcPr>
          <w:p w14:paraId="24D8D811">
            <w:pPr>
              <w:spacing w:line="400" w:lineRule="exact"/>
              <w:jc w:val="center"/>
              <w:textAlignment w:val="center"/>
              <w:rPr>
                <w:rFonts w:ascii="宋体" w:hAnsi="宋体" w:cs="宋体"/>
              </w:rPr>
            </w:pPr>
            <w:r>
              <w:rPr>
                <w:rFonts w:hint="eastAsia" w:ascii="宋体" w:hAnsi="宋体" w:cs="宋体"/>
              </w:rPr>
              <w:t>序号</w:t>
            </w:r>
          </w:p>
        </w:tc>
        <w:tc>
          <w:tcPr>
            <w:tcW w:w="3624" w:type="dxa"/>
            <w:vAlign w:val="center"/>
          </w:tcPr>
          <w:p w14:paraId="191C6728">
            <w:pPr>
              <w:spacing w:line="400" w:lineRule="exact"/>
              <w:jc w:val="center"/>
              <w:textAlignment w:val="center"/>
              <w:rPr>
                <w:rFonts w:ascii="宋体" w:hAnsi="宋体" w:cs="宋体"/>
              </w:rPr>
            </w:pPr>
            <w:r>
              <w:rPr>
                <w:rFonts w:hint="eastAsia" w:ascii="宋体" w:hAnsi="宋体" w:cs="宋体"/>
              </w:rPr>
              <w:t>检验项目</w:t>
            </w:r>
          </w:p>
        </w:tc>
        <w:tc>
          <w:tcPr>
            <w:tcW w:w="4115" w:type="dxa"/>
            <w:vAlign w:val="center"/>
          </w:tcPr>
          <w:p w14:paraId="1705EB58">
            <w:pPr>
              <w:spacing w:line="400" w:lineRule="exact"/>
              <w:jc w:val="center"/>
              <w:textAlignment w:val="center"/>
              <w:rPr>
                <w:rFonts w:ascii="宋体" w:hAnsi="宋体" w:cs="宋体"/>
              </w:rPr>
            </w:pPr>
            <w:r>
              <w:rPr>
                <w:rFonts w:hint="eastAsia" w:ascii="宋体" w:hAnsi="宋体" w:cs="宋体"/>
              </w:rPr>
              <w:t>检测方法</w:t>
            </w:r>
          </w:p>
        </w:tc>
      </w:tr>
      <w:tr w14:paraId="2331A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032" w:type="dxa"/>
            <w:vAlign w:val="center"/>
          </w:tcPr>
          <w:p w14:paraId="39915082">
            <w:pPr>
              <w:spacing w:line="400" w:lineRule="exact"/>
              <w:jc w:val="center"/>
              <w:textAlignment w:val="center"/>
              <w:rPr>
                <w:rFonts w:ascii="宋体" w:hAnsi="宋体" w:cs="宋体"/>
              </w:rPr>
            </w:pPr>
            <w:r>
              <w:rPr>
                <w:rFonts w:hint="eastAsia" w:ascii="宋体" w:hAnsi="宋体" w:cs="宋体"/>
              </w:rPr>
              <w:t>1</w:t>
            </w:r>
          </w:p>
        </w:tc>
        <w:tc>
          <w:tcPr>
            <w:tcW w:w="3624" w:type="dxa"/>
            <w:vAlign w:val="center"/>
          </w:tcPr>
          <w:p w14:paraId="044A7058">
            <w:pPr>
              <w:spacing w:line="240" w:lineRule="auto"/>
              <w:jc w:val="center"/>
              <w:textAlignment w:val="center"/>
              <w:rPr>
                <w:rFonts w:hint="eastAsia"/>
              </w:rPr>
            </w:pPr>
            <w:r>
              <w:rPr>
                <w:rFonts w:hint="eastAsia"/>
              </w:rPr>
              <w:t>挥发性有机化合物含量(VOC)</w:t>
            </w:r>
          </w:p>
        </w:tc>
        <w:tc>
          <w:tcPr>
            <w:tcW w:w="4115" w:type="dxa"/>
            <w:vAlign w:val="center"/>
          </w:tcPr>
          <w:p w14:paraId="39E86CE7">
            <w:pPr>
              <w:spacing w:line="240" w:lineRule="auto"/>
              <w:jc w:val="center"/>
              <w:textAlignment w:val="center"/>
              <w:rPr>
                <w:rFonts w:hint="eastAsia"/>
              </w:rPr>
            </w:pPr>
            <w:r>
              <w:rPr>
                <w:rFonts w:hint="eastAsia"/>
                <w:lang w:val="en-US" w:eastAsia="zh-CN"/>
              </w:rPr>
              <w:t xml:space="preserve">   </w:t>
            </w:r>
            <w:r>
              <w:rPr>
                <w:rFonts w:hint="eastAsia"/>
              </w:rPr>
              <w:t>GB/T</w:t>
            </w:r>
            <w:r>
              <w:rPr>
                <w:rFonts w:hint="eastAsia"/>
                <w:lang w:val="en-US" w:eastAsia="zh-CN"/>
              </w:rPr>
              <w:t xml:space="preserve"> </w:t>
            </w:r>
            <w:r>
              <w:rPr>
                <w:rFonts w:hint="eastAsia"/>
              </w:rPr>
              <w:t>23985-2009、</w:t>
            </w:r>
          </w:p>
          <w:p w14:paraId="01A28396">
            <w:pPr>
              <w:spacing w:line="240" w:lineRule="auto"/>
              <w:jc w:val="center"/>
              <w:textAlignment w:val="center"/>
              <w:rPr>
                <w:rFonts w:hint="eastAsia"/>
                <w:lang w:eastAsia="zh-CN"/>
              </w:rPr>
            </w:pPr>
            <w:r>
              <w:rPr>
                <w:rFonts w:hint="eastAsia"/>
                <w:lang w:val="en-US" w:eastAsia="zh-CN"/>
              </w:rPr>
              <w:t xml:space="preserve">   </w:t>
            </w:r>
            <w:r>
              <w:rPr>
                <w:rFonts w:hint="eastAsia"/>
              </w:rPr>
              <w:t>GB/T</w:t>
            </w:r>
            <w:r>
              <w:rPr>
                <w:rFonts w:hint="eastAsia"/>
                <w:lang w:val="en-US" w:eastAsia="zh-CN"/>
              </w:rPr>
              <w:t xml:space="preserve"> </w:t>
            </w:r>
            <w:r>
              <w:rPr>
                <w:rFonts w:hint="eastAsia"/>
              </w:rPr>
              <w:t>23986-2009</w:t>
            </w:r>
            <w:r>
              <w:rPr>
                <w:rFonts w:hint="eastAsia"/>
                <w:lang w:eastAsia="zh-CN"/>
              </w:rPr>
              <w:t>、</w:t>
            </w:r>
          </w:p>
          <w:p w14:paraId="6CFEBCB0">
            <w:pPr>
              <w:spacing w:line="240" w:lineRule="auto"/>
              <w:jc w:val="center"/>
              <w:textAlignment w:val="center"/>
              <w:rPr>
                <w:rFonts w:hint="default"/>
                <w:lang w:val="en-US" w:eastAsia="zh-CN"/>
              </w:rPr>
            </w:pPr>
            <w:r>
              <w:rPr>
                <w:rFonts w:hint="eastAsia"/>
                <w:lang w:val="en-US" w:eastAsia="zh-CN"/>
              </w:rPr>
              <w:t xml:space="preserve">    </w:t>
            </w:r>
            <w:r>
              <w:rPr>
                <w:rFonts w:hint="eastAsia"/>
              </w:rPr>
              <w:t>GB/T</w:t>
            </w:r>
            <w:r>
              <w:rPr>
                <w:rFonts w:hint="eastAsia"/>
                <w:lang w:val="en-US" w:eastAsia="zh-CN"/>
              </w:rPr>
              <w:t xml:space="preserve"> </w:t>
            </w:r>
            <w:r>
              <w:rPr>
                <w:rFonts w:hint="eastAsia"/>
              </w:rPr>
              <w:t>23986</w:t>
            </w:r>
            <w:r>
              <w:rPr>
                <w:rFonts w:hint="eastAsia"/>
                <w:lang w:val="en-US" w:eastAsia="zh-CN"/>
              </w:rPr>
              <w:t>.2</w:t>
            </w:r>
            <w:r>
              <w:rPr>
                <w:rFonts w:hint="eastAsia"/>
              </w:rPr>
              <w:t>-20</w:t>
            </w:r>
            <w:r>
              <w:rPr>
                <w:rFonts w:hint="eastAsia"/>
                <w:lang w:val="en-US" w:eastAsia="zh-CN"/>
              </w:rPr>
              <w:t>23</w:t>
            </w:r>
          </w:p>
          <w:p w14:paraId="48BFBAB3">
            <w:pPr>
              <w:spacing w:line="240" w:lineRule="auto"/>
              <w:jc w:val="center"/>
              <w:textAlignment w:val="center"/>
              <w:rPr>
                <w:rFonts w:hint="eastAsia"/>
                <w:lang w:val="en-US" w:eastAsia="zh-CN"/>
              </w:rPr>
            </w:pPr>
            <w:r>
              <w:rPr>
                <w:rFonts w:hint="eastAsia"/>
                <w:lang w:val="en-US" w:eastAsia="zh-CN"/>
              </w:rPr>
              <w:t xml:space="preserve">  </w:t>
            </w:r>
            <w:r>
              <w:rPr>
                <w:rFonts w:hint="eastAsia"/>
              </w:rPr>
              <w:t>GB</w:t>
            </w:r>
            <w:r>
              <w:rPr>
                <w:rFonts w:hint="eastAsia"/>
                <w:lang w:val="en-US" w:eastAsia="zh-CN"/>
              </w:rPr>
              <w:t xml:space="preserve"> </w:t>
            </w:r>
            <w:r>
              <w:rPr>
                <w:rFonts w:hint="eastAsia"/>
              </w:rPr>
              <w:t>18581-2020</w:t>
            </w:r>
            <w:r>
              <w:rPr>
                <w:rFonts w:hint="eastAsia"/>
                <w:lang w:eastAsia="zh-CN"/>
              </w:rPr>
              <w:t>、</w:t>
            </w:r>
            <w:r>
              <w:rPr>
                <w:rFonts w:hint="eastAsia"/>
                <w:lang w:val="en-US" w:eastAsia="zh-CN"/>
              </w:rPr>
              <w:t xml:space="preserve"> </w:t>
            </w:r>
          </w:p>
          <w:p w14:paraId="1AE74E83">
            <w:pPr>
              <w:spacing w:line="240" w:lineRule="auto"/>
              <w:jc w:val="center"/>
              <w:textAlignment w:val="center"/>
              <w:rPr>
                <w:rFonts w:hint="eastAsia"/>
                <w:lang w:eastAsia="zh-CN"/>
              </w:rPr>
            </w:pPr>
            <w:r>
              <w:rPr>
                <w:rFonts w:hint="eastAsia"/>
                <w:lang w:val="en-US" w:eastAsia="zh-CN"/>
              </w:rPr>
              <w:t xml:space="preserve">  </w:t>
            </w:r>
            <w:r>
              <w:rPr>
                <w:rFonts w:hint="eastAsia"/>
              </w:rPr>
              <w:t>GB</w:t>
            </w:r>
            <w:r>
              <w:rPr>
                <w:rFonts w:hint="eastAsia"/>
                <w:lang w:val="en-US" w:eastAsia="zh-CN"/>
              </w:rPr>
              <w:t xml:space="preserve"> </w:t>
            </w:r>
            <w:r>
              <w:rPr>
                <w:rFonts w:hint="eastAsia"/>
              </w:rPr>
              <w:t>1858</w:t>
            </w:r>
            <w:r>
              <w:rPr>
                <w:rFonts w:hint="eastAsia"/>
                <w:lang w:val="en-US" w:eastAsia="zh-CN"/>
              </w:rPr>
              <w:t>2</w:t>
            </w:r>
            <w:r>
              <w:rPr>
                <w:rFonts w:hint="eastAsia"/>
              </w:rPr>
              <w:t>-2020</w:t>
            </w:r>
            <w:r>
              <w:rPr>
                <w:rFonts w:hint="eastAsia"/>
                <w:lang w:eastAsia="zh-CN"/>
              </w:rPr>
              <w:t>、</w:t>
            </w:r>
          </w:p>
          <w:p w14:paraId="112595D8">
            <w:pPr>
              <w:spacing w:line="240" w:lineRule="auto"/>
              <w:jc w:val="center"/>
              <w:textAlignment w:val="center"/>
              <w:rPr>
                <w:rFonts w:hint="eastAsia"/>
                <w:lang w:eastAsia="zh-CN"/>
              </w:rPr>
            </w:pPr>
            <w:r>
              <w:rPr>
                <w:rFonts w:hint="eastAsia"/>
                <w:lang w:val="en-US" w:eastAsia="zh-CN"/>
              </w:rPr>
              <w:t>GB30981.1-2025</w:t>
            </w:r>
            <w:r>
              <w:rPr>
                <w:rFonts w:hint="eastAsia"/>
                <w:lang w:eastAsia="zh-CN"/>
              </w:rPr>
              <w:t>、</w:t>
            </w:r>
          </w:p>
          <w:p w14:paraId="5097A7D2">
            <w:pPr>
              <w:spacing w:line="240" w:lineRule="auto"/>
              <w:jc w:val="center"/>
              <w:textAlignment w:val="center"/>
              <w:rPr>
                <w:rFonts w:hint="eastAsia"/>
                <w:lang w:val="en-US" w:eastAsia="zh-CN"/>
              </w:rPr>
            </w:pPr>
            <w:r>
              <w:rPr>
                <w:rFonts w:hint="eastAsia"/>
                <w:lang w:val="en-US" w:eastAsia="zh-CN"/>
              </w:rPr>
              <w:t>GB30981.2-2025</w:t>
            </w:r>
          </w:p>
        </w:tc>
      </w:tr>
    </w:tbl>
    <w:p w14:paraId="6432C1F7">
      <w:pPr>
        <w:spacing w:line="400" w:lineRule="exact"/>
        <w:ind w:firstLine="315" w:firstLineChars="150"/>
        <w:rPr>
          <w:rFonts w:ascii="宋体" w:hAnsi="宋体"/>
        </w:rPr>
      </w:pPr>
      <w:r>
        <w:rPr>
          <w:rFonts w:hint="eastAsia" w:ascii="宋体" w:hAnsi="宋体"/>
        </w:rPr>
        <w:t>执行企业标准、团体标准、地方标准的产品，检验项目参照上述内容执行。</w:t>
      </w:r>
    </w:p>
    <w:p w14:paraId="5942C9C6">
      <w:pPr>
        <w:spacing w:line="400" w:lineRule="exact"/>
        <w:ind w:firstLine="420" w:firstLineChars="200"/>
        <w:rPr>
          <w:rFonts w:ascii="宋体" w:hAnsi="宋体"/>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rPr>
        <w:t>。</w:t>
      </w:r>
    </w:p>
    <w:p w14:paraId="4ED59BD7">
      <w:pPr>
        <w:spacing w:before="156" w:beforeLines="50" w:line="360" w:lineRule="auto"/>
        <w:rPr>
          <w:rFonts w:eastAsia="黑体"/>
          <w:color w:val="000000"/>
        </w:rPr>
      </w:pPr>
      <w:r>
        <w:rPr>
          <w:rFonts w:eastAsia="黑体"/>
          <w:color w:val="000000"/>
        </w:rPr>
        <w:t>3 判定规则</w:t>
      </w:r>
    </w:p>
    <w:p w14:paraId="6895CB22">
      <w:pPr>
        <w:snapToGrid w:val="0"/>
        <w:spacing w:line="440" w:lineRule="exact"/>
        <w:rPr>
          <w:color w:val="000000"/>
        </w:rPr>
      </w:pPr>
      <w:r>
        <w:rPr>
          <w:color w:val="000000"/>
        </w:rPr>
        <w:t>3.1依据标准</w:t>
      </w:r>
    </w:p>
    <w:p w14:paraId="2D412C93">
      <w:pPr>
        <w:adjustRightInd w:val="0"/>
        <w:snapToGrid w:val="0"/>
        <w:spacing w:line="400" w:lineRule="exact"/>
        <w:ind w:left="420" w:leftChars="200"/>
        <w:rPr>
          <w:rFonts w:asciiTheme="minorEastAsia" w:hAnsiTheme="minorEastAsia" w:eastAsiaTheme="minorEastAsia"/>
          <w:szCs w:val="21"/>
        </w:rPr>
      </w:pPr>
      <w:r>
        <w:rPr>
          <w:rFonts w:hint="eastAsia" w:asciiTheme="minorEastAsia" w:hAnsiTheme="minorEastAsia" w:eastAsiaTheme="minorEastAsia"/>
          <w:szCs w:val="21"/>
        </w:rPr>
        <w:t>GB18582-2020   建筑用墙面涂料中有害物质限量</w:t>
      </w:r>
    </w:p>
    <w:p w14:paraId="52C343D9">
      <w:pPr>
        <w:adjustRightInd w:val="0"/>
        <w:snapToGrid w:val="0"/>
        <w:spacing w:line="400" w:lineRule="exact"/>
        <w:ind w:left="420" w:leftChars="200"/>
        <w:rPr>
          <w:rFonts w:hint="eastAsia" w:asciiTheme="minorEastAsia" w:hAnsiTheme="minorEastAsia" w:eastAsiaTheme="minorEastAsia"/>
          <w:szCs w:val="21"/>
        </w:rPr>
      </w:pPr>
      <w:r>
        <w:rPr>
          <w:rFonts w:hint="eastAsia" w:asciiTheme="minorEastAsia" w:hAnsiTheme="minorEastAsia" w:eastAsiaTheme="minorEastAsia"/>
          <w:szCs w:val="21"/>
        </w:rPr>
        <w:t>GB18581-2020   木器涂料中有害物质限量</w:t>
      </w:r>
    </w:p>
    <w:p w14:paraId="73FD6B4A">
      <w:pPr>
        <w:adjustRightInd w:val="0"/>
        <w:snapToGrid w:val="0"/>
        <w:spacing w:line="400" w:lineRule="exact"/>
        <w:ind w:left="420" w:leftChars="200"/>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GB30981.1-2025</w:t>
      </w:r>
      <w:r>
        <w:rPr>
          <w:rFonts w:hint="eastAsia" w:asciiTheme="minorEastAsia" w:hAnsiTheme="minorEastAsia" w:eastAsiaTheme="minorEastAsia"/>
          <w:szCs w:val="21"/>
          <w:lang w:val="en-US" w:eastAsia="zh-CN"/>
        </w:rPr>
        <w:tab/>
      </w:r>
      <w:r>
        <w:rPr>
          <w:rFonts w:hint="eastAsia" w:asciiTheme="minorEastAsia" w:hAnsiTheme="minorEastAsia" w:eastAsiaTheme="minorEastAsia"/>
          <w:szCs w:val="21"/>
          <w:lang w:val="en-US" w:eastAsia="zh-CN"/>
        </w:rPr>
        <w:t>涂料中有害物质限量 第1部分：建筑涂料</w:t>
      </w:r>
    </w:p>
    <w:p w14:paraId="7FD2FE90">
      <w:pPr>
        <w:adjustRightInd w:val="0"/>
        <w:snapToGrid w:val="0"/>
        <w:spacing w:line="400" w:lineRule="exact"/>
        <w:ind w:left="420" w:left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GB30981.2-2025  涂料中有害物质限量 第2部分：工业涂料</w:t>
      </w:r>
    </w:p>
    <w:p w14:paraId="318C0838">
      <w:pPr>
        <w:snapToGrid w:val="0"/>
        <w:spacing w:line="440" w:lineRule="exact"/>
        <w:ind w:firstLine="420" w:firstLineChars="200"/>
        <w:rPr>
          <w:color w:val="000000"/>
        </w:rPr>
      </w:pPr>
      <w:r>
        <w:rPr>
          <w:color w:val="000000"/>
        </w:rPr>
        <w:t>现行有效的企业标准、团体标准、地方标准及产品明示质量要求</w:t>
      </w:r>
    </w:p>
    <w:p w14:paraId="0EE1C505">
      <w:pPr>
        <w:adjustRightInd w:val="0"/>
        <w:snapToGrid w:val="0"/>
        <w:spacing w:line="440" w:lineRule="exact"/>
        <w:rPr>
          <w:color w:val="000000"/>
        </w:rPr>
      </w:pPr>
      <w:r>
        <w:rPr>
          <w:rFonts w:hint="eastAsia"/>
          <w:color w:val="000000"/>
        </w:rPr>
        <w:t>3.2判定原则</w:t>
      </w:r>
    </w:p>
    <w:p w14:paraId="61D0E908">
      <w:pPr>
        <w:adjustRightInd w:val="0"/>
        <w:snapToGrid w:val="0"/>
        <w:spacing w:line="440" w:lineRule="exact"/>
        <w:ind w:firstLine="420" w:firstLineChars="200"/>
        <w:rPr>
          <w:color w:val="auto"/>
          <w:szCs w:val="21"/>
        </w:rPr>
      </w:pPr>
      <w:r>
        <w:rPr>
          <w:rFonts w:hint="eastAsia"/>
          <w:color w:val="auto"/>
          <w:szCs w:val="21"/>
        </w:rPr>
        <w:t>经检验，检验项目全部合格，判定为被抽查产品所检项目未发现不合格；检验项目中任一项或一项以上不合格，判定为被抽查产品不合格。</w:t>
      </w:r>
    </w:p>
    <w:p w14:paraId="2EE82BF3">
      <w:pPr>
        <w:adjustRightInd w:val="0"/>
        <w:snapToGrid w:val="0"/>
        <w:spacing w:line="440" w:lineRule="exact"/>
        <w:ind w:firstLine="417" w:firstLineChars="199"/>
        <w:rPr>
          <w:color w:val="auto"/>
          <w:szCs w:val="21"/>
        </w:rPr>
      </w:pPr>
      <w:r>
        <w:rPr>
          <w:rFonts w:hint="eastAsia"/>
          <w:color w:val="auto"/>
          <w:szCs w:val="21"/>
        </w:rPr>
        <w:t>若被检产品明示的质量要求高于本细则中检验项目依据的标准要求时，应按被检产品明示的质量要求判定。</w:t>
      </w:r>
    </w:p>
    <w:p w14:paraId="0194B7D4">
      <w:pPr>
        <w:adjustRightInd w:val="0"/>
        <w:snapToGrid w:val="0"/>
        <w:spacing w:line="440" w:lineRule="exact"/>
        <w:ind w:firstLine="417" w:firstLineChars="199"/>
        <w:rPr>
          <w:color w:val="auto"/>
          <w:szCs w:val="21"/>
        </w:rPr>
      </w:pPr>
      <w:r>
        <w:rPr>
          <w:rFonts w:hint="eastAsia"/>
          <w:color w:val="auto"/>
          <w:szCs w:val="21"/>
        </w:rPr>
        <w:t>若被检产品明示的质量要求低于本细则中检验项目依据的强制性标准要求时，应按照强制性标准要求判定。</w:t>
      </w:r>
    </w:p>
    <w:p w14:paraId="3D4DCD23">
      <w:pPr>
        <w:adjustRightInd w:val="0"/>
        <w:snapToGrid w:val="0"/>
        <w:spacing w:line="440" w:lineRule="exact"/>
        <w:ind w:firstLine="417" w:firstLineChars="199"/>
        <w:rPr>
          <w:color w:val="auto"/>
          <w:szCs w:val="21"/>
        </w:rPr>
      </w:pPr>
      <w:r>
        <w:rPr>
          <w:rFonts w:hint="eastAsia"/>
          <w:color w:val="auto"/>
          <w:szCs w:val="21"/>
        </w:rPr>
        <w:t>若被检产品明示的质量要求低于或包含细则中检验项目依据的推荐性标准要求时，应以被检产品明示的质量要求判定。</w:t>
      </w:r>
    </w:p>
    <w:p w14:paraId="7FFECBC1">
      <w:pPr>
        <w:adjustRightInd w:val="0"/>
        <w:snapToGrid w:val="0"/>
        <w:spacing w:line="440" w:lineRule="exact"/>
        <w:ind w:firstLine="417" w:firstLineChars="199"/>
        <w:rPr>
          <w:color w:val="auto"/>
          <w:szCs w:val="21"/>
        </w:rPr>
      </w:pPr>
      <w:r>
        <w:rPr>
          <w:rFonts w:hint="eastAsia"/>
          <w:color w:val="auto"/>
          <w:szCs w:val="21"/>
        </w:rPr>
        <w:t>若被检产品明示的质量要求缺少本细则中检验项目依据的强制性标准要求时，应按照强制性标准要求判定。</w:t>
      </w:r>
    </w:p>
    <w:p w14:paraId="78B53F5A">
      <w:pPr>
        <w:snapToGrid w:val="0"/>
        <w:spacing w:line="440" w:lineRule="exact"/>
        <w:ind w:firstLine="417" w:firstLineChars="199"/>
        <w:rPr>
          <w:color w:val="auto"/>
          <w:szCs w:val="21"/>
        </w:rPr>
      </w:pPr>
      <w:r>
        <w:rPr>
          <w:rFonts w:hint="eastAsia"/>
          <w:color w:val="auto"/>
          <w:szCs w:val="21"/>
        </w:rPr>
        <w:t>若被检产品明示的质量要求缺少本细则中检验项目依据的推荐性标准要求时，该项目不参与判定。</w:t>
      </w:r>
    </w:p>
    <w:p w14:paraId="40D8778A">
      <w:pPr>
        <w:spacing w:line="400" w:lineRule="exact"/>
        <w:rPr>
          <w:rFonts w:ascii="黑体" w:hAnsi="黑体" w:eastAsia="黑体" w:cs="黑体"/>
          <w:bCs/>
        </w:rPr>
      </w:pPr>
      <w:r>
        <w:rPr>
          <w:rFonts w:hint="eastAsia" w:ascii="黑体" w:hAnsi="黑体" w:eastAsia="黑体" w:cs="黑体"/>
          <w:bCs/>
        </w:rPr>
        <w:t>4 附则</w:t>
      </w:r>
    </w:p>
    <w:p w14:paraId="75C5EF11">
      <w:pPr>
        <w:spacing w:line="400" w:lineRule="exact"/>
        <w:ind w:firstLine="420" w:firstLineChars="200"/>
        <w:rPr>
          <w:rFonts w:ascii="宋体" w:hAnsi="宋体"/>
        </w:rPr>
      </w:pPr>
      <w:r>
        <w:rPr>
          <w:rFonts w:hint="eastAsia" w:ascii="宋体" w:hAnsi="宋体"/>
        </w:rPr>
        <w:t>本细则由安徽省产品质量监督检验研究院编制，</w:t>
      </w:r>
      <w:r>
        <w:rPr>
          <w:rFonts w:hint="eastAsia" w:ascii="宋体" w:hAnsi="宋体"/>
          <w:lang w:val="en-US" w:eastAsia="zh-CN"/>
        </w:rPr>
        <w:t>六安</w:t>
      </w:r>
      <w:bookmarkStart w:id="0" w:name="_GoBack"/>
      <w:bookmarkEnd w:id="0"/>
      <w:r>
        <w:rPr>
          <w:rFonts w:hint="eastAsia" w:ascii="宋体" w:hAnsi="宋体"/>
        </w:rPr>
        <w:t>市市场监督管理局管理。</w:t>
      </w:r>
    </w:p>
    <w:p w14:paraId="785801F1">
      <w:pPr>
        <w:spacing w:line="400" w:lineRule="exact"/>
        <w:rPr>
          <w:rFonts w:ascii="宋体" w:hAnsi="宋体"/>
        </w:rPr>
      </w:pP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EFC3A">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DD8BEE">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48DD8BEE">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84264">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BE4A02">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21BE4A02">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hNTE5NGU0YTEyN2Q3NGE0ZGJhMGVlNmQxMDM5NWYifQ=="/>
  </w:docVars>
  <w:rsids>
    <w:rsidRoot w:val="00124B4D"/>
    <w:rsid w:val="00010F63"/>
    <w:rsid w:val="00014EBA"/>
    <w:rsid w:val="00031DD2"/>
    <w:rsid w:val="00041204"/>
    <w:rsid w:val="000448C9"/>
    <w:rsid w:val="0005239E"/>
    <w:rsid w:val="000660B4"/>
    <w:rsid w:val="00124B4D"/>
    <w:rsid w:val="00132B31"/>
    <w:rsid w:val="00160DAB"/>
    <w:rsid w:val="001A2C1B"/>
    <w:rsid w:val="001A6949"/>
    <w:rsid w:val="001D2E71"/>
    <w:rsid w:val="001F3847"/>
    <w:rsid w:val="002040E3"/>
    <w:rsid w:val="00240F56"/>
    <w:rsid w:val="002426BC"/>
    <w:rsid w:val="00275756"/>
    <w:rsid w:val="00293240"/>
    <w:rsid w:val="00316168"/>
    <w:rsid w:val="00383F4F"/>
    <w:rsid w:val="00397AC4"/>
    <w:rsid w:val="003D4B37"/>
    <w:rsid w:val="003D5DE8"/>
    <w:rsid w:val="00402400"/>
    <w:rsid w:val="004B566A"/>
    <w:rsid w:val="004D19FF"/>
    <w:rsid w:val="004D2A4A"/>
    <w:rsid w:val="004E7F69"/>
    <w:rsid w:val="0057704F"/>
    <w:rsid w:val="005A3426"/>
    <w:rsid w:val="005C532A"/>
    <w:rsid w:val="005E4DFC"/>
    <w:rsid w:val="005E7AC6"/>
    <w:rsid w:val="00686020"/>
    <w:rsid w:val="006B2042"/>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00083"/>
    <w:rsid w:val="00914A5C"/>
    <w:rsid w:val="009B137E"/>
    <w:rsid w:val="009C164C"/>
    <w:rsid w:val="009C7557"/>
    <w:rsid w:val="009E4EE2"/>
    <w:rsid w:val="009E7151"/>
    <w:rsid w:val="00A02482"/>
    <w:rsid w:val="00A052D1"/>
    <w:rsid w:val="00A14EBA"/>
    <w:rsid w:val="00A313D2"/>
    <w:rsid w:val="00A36EA3"/>
    <w:rsid w:val="00A452A2"/>
    <w:rsid w:val="00A70372"/>
    <w:rsid w:val="00A7106B"/>
    <w:rsid w:val="00A90C94"/>
    <w:rsid w:val="00A90D42"/>
    <w:rsid w:val="00A96751"/>
    <w:rsid w:val="00A97654"/>
    <w:rsid w:val="00AA219E"/>
    <w:rsid w:val="00AA7AF6"/>
    <w:rsid w:val="00AB18D9"/>
    <w:rsid w:val="00AC342E"/>
    <w:rsid w:val="00AD4E74"/>
    <w:rsid w:val="00B06608"/>
    <w:rsid w:val="00B15C53"/>
    <w:rsid w:val="00B64A56"/>
    <w:rsid w:val="00B77C17"/>
    <w:rsid w:val="00C130B7"/>
    <w:rsid w:val="00C15134"/>
    <w:rsid w:val="00C26DCA"/>
    <w:rsid w:val="00C44227"/>
    <w:rsid w:val="00C83114"/>
    <w:rsid w:val="00CA6683"/>
    <w:rsid w:val="00CB4C78"/>
    <w:rsid w:val="00CB5241"/>
    <w:rsid w:val="00CD0006"/>
    <w:rsid w:val="00CD406C"/>
    <w:rsid w:val="00CD42E5"/>
    <w:rsid w:val="00CE42DE"/>
    <w:rsid w:val="00D27216"/>
    <w:rsid w:val="00D34EDB"/>
    <w:rsid w:val="00D80378"/>
    <w:rsid w:val="00D84311"/>
    <w:rsid w:val="00D9767B"/>
    <w:rsid w:val="00DA4791"/>
    <w:rsid w:val="00E07EAD"/>
    <w:rsid w:val="00E11692"/>
    <w:rsid w:val="00E3448A"/>
    <w:rsid w:val="00E35CEA"/>
    <w:rsid w:val="00ED2030"/>
    <w:rsid w:val="00F04372"/>
    <w:rsid w:val="00F41622"/>
    <w:rsid w:val="00F950FB"/>
    <w:rsid w:val="00F97E30"/>
    <w:rsid w:val="00FB0111"/>
    <w:rsid w:val="00FD0D4D"/>
    <w:rsid w:val="059704BA"/>
    <w:rsid w:val="183F70B0"/>
    <w:rsid w:val="195946C3"/>
    <w:rsid w:val="1A110522"/>
    <w:rsid w:val="1ECE553B"/>
    <w:rsid w:val="23CA4816"/>
    <w:rsid w:val="261C4F6A"/>
    <w:rsid w:val="297A4803"/>
    <w:rsid w:val="36253675"/>
    <w:rsid w:val="365915A5"/>
    <w:rsid w:val="3B03796A"/>
    <w:rsid w:val="3B2C1995"/>
    <w:rsid w:val="40DE135D"/>
    <w:rsid w:val="41120998"/>
    <w:rsid w:val="41B06D03"/>
    <w:rsid w:val="43F14BBE"/>
    <w:rsid w:val="4492270A"/>
    <w:rsid w:val="4EA948EE"/>
    <w:rsid w:val="564F7575"/>
    <w:rsid w:val="59BA0A98"/>
    <w:rsid w:val="5A961D9E"/>
    <w:rsid w:val="5D244ED9"/>
    <w:rsid w:val="60B03F74"/>
    <w:rsid w:val="73BF6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5"/>
    <w:qFormat/>
    <w:uiPriority w:val="1"/>
    <w:pPr>
      <w:spacing w:before="7"/>
      <w:ind w:left="148"/>
      <w:jc w:val="left"/>
      <w:outlineLvl w:val="3"/>
    </w:pPr>
    <w:rPr>
      <w:rFonts w:ascii="宋体" w:hAnsi="宋体"/>
      <w:b/>
      <w:bCs/>
      <w:kern w:val="0"/>
      <w:lang w:eastAsia="en-US"/>
    </w:rPr>
  </w:style>
  <w:style w:type="character" w:default="1" w:styleId="11">
    <w:name w:val="Default Paragraph Font"/>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16"/>
    <w:qFormat/>
    <w:uiPriority w:val="0"/>
    <w:pPr>
      <w:snapToGrid w:val="0"/>
      <w:spacing w:line="440" w:lineRule="exact"/>
    </w:pPr>
    <w:rPr>
      <w:rFonts w:ascii="宋体" w:hAnsi="宋体"/>
      <w:color w:val="FF0000"/>
      <w:sz w:val="18"/>
    </w:rPr>
  </w:style>
  <w:style w:type="paragraph" w:styleId="4">
    <w:name w:val="Body Text Indent"/>
    <w:basedOn w:val="1"/>
    <w:unhideWhenUsed/>
    <w:qFormat/>
    <w:uiPriority w:val="99"/>
    <w:pPr>
      <w:ind w:left="420" w:leftChars="200"/>
    </w:pPr>
  </w:style>
  <w:style w:type="paragraph" w:styleId="5">
    <w:name w:val="Balloon Text"/>
    <w:basedOn w:val="1"/>
    <w:link w:val="19"/>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4"/>
    <w:unhideWhenUsed/>
    <w:qFormat/>
    <w:uiPriority w:val="99"/>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99"/>
  </w:style>
  <w:style w:type="character" w:customStyle="1" w:styleId="13">
    <w:name w:val="页眉 Char"/>
    <w:basedOn w:val="11"/>
    <w:link w:val="7"/>
    <w:qFormat/>
    <w:uiPriority w:val="0"/>
    <w:rPr>
      <w:sz w:val="18"/>
      <w:szCs w:val="18"/>
    </w:rPr>
  </w:style>
  <w:style w:type="character" w:customStyle="1" w:styleId="14">
    <w:name w:val="页脚 Char"/>
    <w:basedOn w:val="11"/>
    <w:link w:val="6"/>
    <w:semiHidden/>
    <w:qFormat/>
    <w:uiPriority w:val="99"/>
    <w:rPr>
      <w:sz w:val="18"/>
      <w:szCs w:val="18"/>
    </w:rPr>
  </w:style>
  <w:style w:type="character" w:customStyle="1" w:styleId="15">
    <w:name w:val="标题 4 Char"/>
    <w:basedOn w:val="11"/>
    <w:link w:val="2"/>
    <w:qFormat/>
    <w:uiPriority w:val="1"/>
    <w:rPr>
      <w:rFonts w:ascii="宋体" w:hAnsi="宋体" w:eastAsia="宋体" w:cs="Times New Roman"/>
      <w:b/>
      <w:bCs/>
      <w:kern w:val="0"/>
      <w:szCs w:val="21"/>
      <w:lang w:eastAsia="en-US"/>
    </w:rPr>
  </w:style>
  <w:style w:type="character" w:customStyle="1" w:styleId="16">
    <w:name w:val="正文文本 Char"/>
    <w:basedOn w:val="11"/>
    <w:link w:val="3"/>
    <w:qFormat/>
    <w:uiPriority w:val="0"/>
    <w:rPr>
      <w:rFonts w:ascii="宋体" w:hAnsi="宋体" w:eastAsia="宋体" w:cs="Times New Roman"/>
      <w:color w:val="FF0000"/>
      <w:sz w:val="18"/>
      <w:szCs w:val="21"/>
    </w:rPr>
  </w:style>
  <w:style w:type="paragraph" w:customStyle="1" w:styleId="17">
    <w:name w:val="Table Paragraph"/>
    <w:basedOn w:val="1"/>
    <w:qFormat/>
    <w:uiPriority w:val="1"/>
    <w:pPr>
      <w:jc w:val="left"/>
    </w:pPr>
    <w:rPr>
      <w:rFonts w:ascii="Calibri" w:hAnsi="Calibri"/>
      <w:kern w:val="0"/>
      <w:sz w:val="22"/>
      <w:szCs w:val="22"/>
      <w:lang w:eastAsia="en-US"/>
    </w:rPr>
  </w:style>
  <w:style w:type="paragraph" w:customStyle="1" w:styleId="18">
    <w:name w:val="列出段落4"/>
    <w:basedOn w:val="1"/>
    <w:qFormat/>
    <w:uiPriority w:val="99"/>
    <w:pPr>
      <w:ind w:firstLine="420" w:firstLineChars="200"/>
    </w:pPr>
    <w:rPr>
      <w:rFonts w:ascii="Calibri" w:hAnsi="Calibri" w:cs="Calibri"/>
    </w:rPr>
  </w:style>
  <w:style w:type="character" w:customStyle="1" w:styleId="19">
    <w:name w:val="批注框文本 Char"/>
    <w:basedOn w:val="11"/>
    <w:link w:val="5"/>
    <w:semiHidden/>
    <w:qFormat/>
    <w:uiPriority w:val="99"/>
    <w:rPr>
      <w:rFonts w:ascii="Times New Roman" w:hAnsi="Times New Roman" w:eastAsia="宋体" w:cs="Times New Roman"/>
      <w:sz w:val="18"/>
      <w:szCs w:val="18"/>
    </w:rPr>
  </w:style>
  <w:style w:type="paragraph" w:styleId="2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1051</Words>
  <Characters>1268</Characters>
  <Lines>9</Lines>
  <Paragraphs>2</Paragraphs>
  <TotalTime>0</TotalTime>
  <ScaleCrop>false</ScaleCrop>
  <LinksUpToDate>false</LinksUpToDate>
  <CharactersWithSpaces>1326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南öホビブï约</cp:lastModifiedBy>
  <dcterms:modified xsi:type="dcterms:W3CDTF">2026-04-17T09:48:56Z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C341C6CBA77C4D18BF810186CD9562F0_13</vt:lpwstr>
  </property>
  <property fmtid="{D5CDD505-2E9C-101B-9397-08002B2CF9AE}" pid="4" name="KSOTemplateDocerSaveRecord">
    <vt:lpwstr>eyJoZGlkIjoiMDg2NTdhY2VjMjJlZmYxZmE1OGI0MDk3MGIwYjhhMDUiLCJ1c2VySWQiOiIyNDI4ODE5NDQifQ==</vt:lpwstr>
  </property>
</Properties>
</file>