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E87E99">
      <w:pPr>
        <w:snapToGrid w:val="0"/>
        <w:spacing w:line="440" w:lineRule="exact"/>
        <w:jc w:val="center"/>
        <w:rPr>
          <w:rFonts w:hint="eastAsia" w:ascii="黑体" w:eastAsia="黑体" w:cs="方正仿宋简体"/>
          <w:color w:val="000000"/>
          <w:sz w:val="32"/>
          <w:szCs w:val="32"/>
        </w:rPr>
      </w:pPr>
      <w:r>
        <w:rPr>
          <w:rFonts w:hint="eastAsia" w:ascii="黑体" w:eastAsia="黑体" w:cs="方正仿宋简体"/>
          <w:color w:val="000000"/>
          <w:sz w:val="32"/>
          <w:szCs w:val="32"/>
        </w:rPr>
        <w:t>2026年</w:t>
      </w:r>
      <w:r>
        <w:rPr>
          <w:rFonts w:hint="eastAsia" w:ascii="黑体" w:eastAsia="黑体" w:cs="方正仿宋简体"/>
          <w:color w:val="000000"/>
          <w:sz w:val="32"/>
          <w:szCs w:val="32"/>
          <w:lang w:val="en-US" w:eastAsia="zh-CN"/>
        </w:rPr>
        <w:t>六安</w:t>
      </w:r>
      <w:r>
        <w:rPr>
          <w:rFonts w:hint="eastAsia" w:ascii="黑体" w:eastAsia="黑体" w:cs="方正仿宋简体"/>
          <w:color w:val="000000"/>
          <w:sz w:val="32"/>
          <w:szCs w:val="32"/>
          <w:lang w:eastAsia="zh-CN"/>
        </w:rPr>
        <w:t>市水暖毯</w:t>
      </w:r>
      <w:r>
        <w:rPr>
          <w:rFonts w:hint="eastAsia" w:ascii="黑体" w:eastAsia="黑体" w:cs="方正仿宋简体"/>
          <w:color w:val="000000"/>
          <w:sz w:val="32"/>
          <w:szCs w:val="32"/>
        </w:rPr>
        <w:t>产品质量监督抽查实施细则</w:t>
      </w:r>
    </w:p>
    <w:p w14:paraId="35AF216E">
      <w:pPr>
        <w:snapToGrid w:val="0"/>
        <w:spacing w:line="440" w:lineRule="exact"/>
        <w:rPr>
          <w:rFonts w:hint="eastAsia" w:asciiTheme="minorEastAsia" w:hAnsiTheme="minorEastAsia" w:eastAsiaTheme="minorEastAsia" w:cstheme="minorEastAsia"/>
          <w:color w:val="000000"/>
          <w:szCs w:val="21"/>
        </w:rPr>
      </w:pPr>
    </w:p>
    <w:p w14:paraId="066F61A1">
      <w:pPr>
        <w:spacing w:line="400" w:lineRule="exact"/>
        <w:rPr>
          <w:rFonts w:hint="eastAsia" w:ascii="黑体" w:hAnsi="黑体" w:eastAsia="黑体" w:cs="黑体"/>
          <w:bCs/>
        </w:rPr>
      </w:pPr>
      <w:r>
        <w:rPr>
          <w:rFonts w:hint="eastAsia" w:ascii="黑体" w:hAnsi="黑体" w:eastAsia="黑体" w:cs="黑体"/>
          <w:bCs/>
        </w:rPr>
        <w:t>1 抽样方法</w:t>
      </w:r>
    </w:p>
    <w:p w14:paraId="43135050">
      <w:pPr>
        <w:snapToGrid w:val="0"/>
        <w:spacing w:line="440" w:lineRule="exact"/>
        <w:ind w:firstLine="420" w:firstLineChars="200"/>
        <w:rPr>
          <w:rFonts w:hint="eastAsia"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以随机抽样的方式在被抽样生产者、销售者的待销产品中抽取。</w:t>
      </w:r>
    </w:p>
    <w:p w14:paraId="758F5858">
      <w:pPr>
        <w:snapToGrid w:val="0"/>
        <w:spacing w:line="440" w:lineRule="exact"/>
        <w:ind w:firstLine="420" w:firstLineChars="200"/>
        <w:rPr>
          <w:rFonts w:hint="eastAsia"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随机数一般可使用随机数表等方法产生。</w:t>
      </w:r>
    </w:p>
    <w:p w14:paraId="3EDF8138">
      <w:pPr>
        <w:snapToGrid w:val="0"/>
        <w:spacing w:line="440" w:lineRule="exact"/>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每批次产品抽取样品3</w:t>
      </w:r>
      <w:r>
        <w:rPr>
          <w:rFonts w:hint="eastAsia" w:asciiTheme="minorEastAsia" w:hAnsiTheme="minorEastAsia" w:eastAsiaTheme="minorEastAsia" w:cstheme="minorEastAsia"/>
          <w:szCs w:val="21"/>
          <w:lang w:val="en-US" w:eastAsia="zh-CN"/>
        </w:rPr>
        <w:t>条</w:t>
      </w:r>
      <w:r>
        <w:rPr>
          <w:rFonts w:hint="eastAsia" w:asciiTheme="minorEastAsia" w:hAnsiTheme="minorEastAsia" w:eastAsiaTheme="minorEastAsia" w:cstheme="minorEastAsia"/>
          <w:szCs w:val="21"/>
        </w:rPr>
        <w:t>，其中2</w:t>
      </w:r>
      <w:r>
        <w:rPr>
          <w:rFonts w:hint="eastAsia" w:asciiTheme="minorEastAsia" w:hAnsiTheme="minorEastAsia" w:eastAsiaTheme="minorEastAsia" w:cstheme="minorEastAsia"/>
          <w:szCs w:val="21"/>
          <w:lang w:val="en-US" w:eastAsia="zh-CN"/>
        </w:rPr>
        <w:t>条</w:t>
      </w:r>
      <w:r>
        <w:rPr>
          <w:rFonts w:hint="eastAsia" w:asciiTheme="minorEastAsia" w:hAnsiTheme="minorEastAsia" w:eastAsiaTheme="minorEastAsia" w:cstheme="minorEastAsia"/>
          <w:szCs w:val="21"/>
        </w:rPr>
        <w:t>作为检验样品，1</w:t>
      </w:r>
      <w:r>
        <w:rPr>
          <w:rFonts w:hint="eastAsia" w:asciiTheme="minorEastAsia" w:hAnsiTheme="minorEastAsia" w:eastAsiaTheme="minorEastAsia" w:cstheme="minorEastAsia"/>
          <w:szCs w:val="21"/>
          <w:lang w:val="en-US" w:eastAsia="zh-CN"/>
        </w:rPr>
        <w:t>条</w:t>
      </w:r>
      <w:r>
        <w:rPr>
          <w:rFonts w:hint="eastAsia" w:asciiTheme="minorEastAsia" w:hAnsiTheme="minorEastAsia" w:eastAsiaTheme="minorEastAsia" w:cstheme="minorEastAsia"/>
          <w:szCs w:val="21"/>
        </w:rPr>
        <w:t>作为备用样品。</w:t>
      </w:r>
    </w:p>
    <w:p w14:paraId="310955A5">
      <w:pPr>
        <w:snapToGrid w:val="0"/>
        <w:spacing w:line="440" w:lineRule="exact"/>
        <w:ind w:firstLine="420" w:firstLineChars="200"/>
        <w:rPr>
          <w:rFonts w:hint="eastAsia" w:asciiTheme="minorEastAsia" w:hAnsiTheme="minorEastAsia" w:eastAsiaTheme="minorEastAsia" w:cstheme="minorEastAsia"/>
          <w:szCs w:val="21"/>
        </w:rPr>
      </w:pPr>
    </w:p>
    <w:p w14:paraId="60801E65">
      <w:pPr>
        <w:spacing w:line="400" w:lineRule="exact"/>
        <w:rPr>
          <w:rFonts w:hint="eastAsia" w:ascii="黑体" w:hAnsi="黑体" w:eastAsia="黑体" w:cs="黑体"/>
          <w:bCs/>
        </w:rPr>
      </w:pPr>
      <w:r>
        <w:rPr>
          <w:rFonts w:hint="eastAsia" w:ascii="黑体" w:hAnsi="黑体" w:eastAsia="黑体" w:cs="黑体"/>
          <w:bCs/>
        </w:rPr>
        <w:t>2 检验依据</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3"/>
        <w:gridCol w:w="3546"/>
        <w:gridCol w:w="4208"/>
      </w:tblGrid>
      <w:tr w14:paraId="66619A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9" w:hRule="atLeast"/>
          <w:tblHeader/>
          <w:jc w:val="center"/>
        </w:trPr>
        <w:tc>
          <w:tcPr>
            <w:tcW w:w="783" w:type="dxa"/>
            <w:noWrap w:val="0"/>
            <w:vAlign w:val="center"/>
          </w:tcPr>
          <w:p w14:paraId="5AC2EE9A">
            <w:pPr>
              <w:snapToGrid w:val="0"/>
              <w:spacing w:line="440" w:lineRule="exact"/>
              <w:jc w:val="center"/>
              <w:rPr>
                <w:rFonts w:hint="eastAsia"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序号</w:t>
            </w:r>
          </w:p>
        </w:tc>
        <w:tc>
          <w:tcPr>
            <w:tcW w:w="3546" w:type="dxa"/>
            <w:noWrap w:val="0"/>
            <w:vAlign w:val="center"/>
          </w:tcPr>
          <w:p w14:paraId="17AAB8E3">
            <w:pPr>
              <w:snapToGrid w:val="0"/>
              <w:spacing w:line="440" w:lineRule="exact"/>
              <w:jc w:val="center"/>
              <w:rPr>
                <w:rFonts w:hint="eastAsia"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检验项目</w:t>
            </w:r>
          </w:p>
        </w:tc>
        <w:tc>
          <w:tcPr>
            <w:tcW w:w="4208" w:type="dxa"/>
            <w:noWrap w:val="0"/>
            <w:vAlign w:val="center"/>
          </w:tcPr>
          <w:p w14:paraId="052CB11D">
            <w:pPr>
              <w:snapToGrid w:val="0"/>
              <w:spacing w:line="440" w:lineRule="exact"/>
              <w:jc w:val="center"/>
              <w:rPr>
                <w:rFonts w:hint="eastAsia"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检验方法</w:t>
            </w:r>
          </w:p>
        </w:tc>
      </w:tr>
      <w:tr w14:paraId="70F662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83" w:type="dxa"/>
            <w:noWrap w:val="0"/>
            <w:vAlign w:val="center"/>
          </w:tcPr>
          <w:p w14:paraId="1EAF4E90">
            <w:pPr>
              <w:snapToGrid w:val="0"/>
              <w:jc w:val="center"/>
              <w:rPr>
                <w:rFonts w:hint="eastAsia"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1</w:t>
            </w:r>
          </w:p>
        </w:tc>
        <w:tc>
          <w:tcPr>
            <w:tcW w:w="3546" w:type="dxa"/>
            <w:noWrap w:val="0"/>
            <w:vAlign w:val="center"/>
          </w:tcPr>
          <w:p w14:paraId="03F9C69B">
            <w:pPr>
              <w:snapToGrid w:val="0"/>
              <w:jc w:val="center"/>
              <w:rPr>
                <w:rFonts w:hint="eastAsia"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对触及带电部件的防护</w:t>
            </w:r>
          </w:p>
        </w:tc>
        <w:tc>
          <w:tcPr>
            <w:tcW w:w="4208" w:type="dxa"/>
            <w:noWrap w:val="0"/>
            <w:vAlign w:val="center"/>
          </w:tcPr>
          <w:p w14:paraId="1E0BFD5C">
            <w:pPr>
              <w:snapToGrid w:val="0"/>
              <w:jc w:val="center"/>
              <w:rPr>
                <w:rFonts w:hint="eastAsia" w:asciiTheme="minorEastAsia" w:hAnsiTheme="minorEastAsia" w:eastAsiaTheme="minorEastAsia" w:cstheme="minorEastAsia"/>
                <w:color w:val="000000"/>
                <w:szCs w:val="21"/>
                <w:lang w:eastAsia="zh-CN"/>
              </w:rPr>
            </w:pPr>
            <w:r>
              <w:rPr>
                <w:rFonts w:hint="eastAsia" w:asciiTheme="minorEastAsia" w:hAnsiTheme="minorEastAsia" w:eastAsiaTheme="minorEastAsia" w:cstheme="minorEastAsia"/>
                <w:color w:val="000000"/>
                <w:szCs w:val="21"/>
                <w:lang w:eastAsia="zh-CN"/>
              </w:rPr>
              <w:t>GB 4706.1-2005、GB/T 4706.1-2024</w:t>
            </w:r>
          </w:p>
        </w:tc>
      </w:tr>
      <w:tr w14:paraId="331240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83" w:type="dxa"/>
            <w:noWrap w:val="0"/>
            <w:vAlign w:val="center"/>
          </w:tcPr>
          <w:p w14:paraId="533C20AE">
            <w:pPr>
              <w:snapToGrid w:val="0"/>
              <w:jc w:val="center"/>
              <w:rPr>
                <w:rFonts w:hint="eastAsia"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2</w:t>
            </w:r>
          </w:p>
        </w:tc>
        <w:tc>
          <w:tcPr>
            <w:tcW w:w="3546" w:type="dxa"/>
            <w:noWrap w:val="0"/>
            <w:vAlign w:val="center"/>
          </w:tcPr>
          <w:p w14:paraId="5ACDD740">
            <w:pPr>
              <w:snapToGrid w:val="0"/>
              <w:jc w:val="center"/>
              <w:rPr>
                <w:rFonts w:hint="eastAsia"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输入功率和电流</w:t>
            </w:r>
          </w:p>
        </w:tc>
        <w:tc>
          <w:tcPr>
            <w:tcW w:w="4208" w:type="dxa"/>
            <w:noWrap w:val="0"/>
            <w:vAlign w:val="center"/>
          </w:tcPr>
          <w:p w14:paraId="6E89E4FB">
            <w:pPr>
              <w:snapToGrid w:val="0"/>
              <w:jc w:val="center"/>
              <w:rPr>
                <w:rFonts w:hint="eastAsia" w:asciiTheme="minorEastAsia" w:hAnsiTheme="minorEastAsia" w:eastAsiaTheme="minorEastAsia" w:cstheme="minorEastAsia"/>
                <w:color w:val="000000"/>
                <w:szCs w:val="21"/>
                <w:lang w:eastAsia="zh-CN"/>
              </w:rPr>
            </w:pPr>
            <w:r>
              <w:rPr>
                <w:rFonts w:hint="eastAsia" w:asciiTheme="minorEastAsia" w:hAnsiTheme="minorEastAsia" w:eastAsiaTheme="minorEastAsia" w:cstheme="minorEastAsia"/>
                <w:color w:val="000000"/>
                <w:szCs w:val="21"/>
                <w:lang w:eastAsia="zh-CN"/>
              </w:rPr>
              <w:t>GB 4706.1-2005、GB/T 4706.1-2024</w:t>
            </w:r>
          </w:p>
        </w:tc>
      </w:tr>
      <w:tr w14:paraId="51A38A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83" w:type="dxa"/>
            <w:noWrap w:val="0"/>
            <w:vAlign w:val="center"/>
          </w:tcPr>
          <w:p w14:paraId="5B47A860">
            <w:pPr>
              <w:snapToGrid w:val="0"/>
              <w:jc w:val="center"/>
              <w:rPr>
                <w:rFonts w:hint="eastAsia"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3</w:t>
            </w:r>
          </w:p>
        </w:tc>
        <w:tc>
          <w:tcPr>
            <w:tcW w:w="3546" w:type="dxa"/>
            <w:noWrap w:val="0"/>
            <w:vAlign w:val="center"/>
          </w:tcPr>
          <w:p w14:paraId="519FE018">
            <w:pPr>
              <w:snapToGrid w:val="0"/>
              <w:jc w:val="center"/>
              <w:rPr>
                <w:rFonts w:hint="eastAsia"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发热</w:t>
            </w:r>
          </w:p>
        </w:tc>
        <w:tc>
          <w:tcPr>
            <w:tcW w:w="4208" w:type="dxa"/>
            <w:noWrap w:val="0"/>
            <w:vAlign w:val="center"/>
          </w:tcPr>
          <w:p w14:paraId="24205D07">
            <w:pPr>
              <w:snapToGrid w:val="0"/>
              <w:jc w:val="center"/>
              <w:rPr>
                <w:rFonts w:hint="eastAsia" w:asciiTheme="minorEastAsia" w:hAnsiTheme="minorEastAsia" w:eastAsiaTheme="minorEastAsia" w:cstheme="minorEastAsia"/>
                <w:color w:val="000000"/>
                <w:szCs w:val="21"/>
                <w:lang w:eastAsia="zh-CN"/>
              </w:rPr>
            </w:pPr>
            <w:r>
              <w:rPr>
                <w:rFonts w:hint="eastAsia" w:asciiTheme="minorEastAsia" w:hAnsiTheme="minorEastAsia" w:eastAsiaTheme="minorEastAsia" w:cstheme="minorEastAsia"/>
                <w:color w:val="000000"/>
                <w:szCs w:val="21"/>
                <w:lang w:eastAsia="zh-CN"/>
              </w:rPr>
              <w:t>GB 4706.1-2005、GB/T 4706.1-2024</w:t>
            </w:r>
          </w:p>
        </w:tc>
      </w:tr>
      <w:tr w14:paraId="2AD969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83" w:type="dxa"/>
            <w:noWrap w:val="0"/>
            <w:vAlign w:val="center"/>
          </w:tcPr>
          <w:p w14:paraId="3C0A1F40">
            <w:pPr>
              <w:snapToGrid w:val="0"/>
              <w:jc w:val="center"/>
              <w:rPr>
                <w:rFonts w:hint="eastAsia"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4</w:t>
            </w:r>
          </w:p>
        </w:tc>
        <w:tc>
          <w:tcPr>
            <w:tcW w:w="3546" w:type="dxa"/>
            <w:noWrap w:val="0"/>
            <w:vAlign w:val="center"/>
          </w:tcPr>
          <w:p w14:paraId="4D1513D1">
            <w:pPr>
              <w:snapToGrid w:val="0"/>
              <w:jc w:val="center"/>
              <w:rPr>
                <w:rFonts w:hint="eastAsia"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工作温度下的泄漏电流和电气强度</w:t>
            </w:r>
          </w:p>
        </w:tc>
        <w:tc>
          <w:tcPr>
            <w:tcW w:w="4208" w:type="dxa"/>
            <w:noWrap w:val="0"/>
            <w:vAlign w:val="center"/>
          </w:tcPr>
          <w:p w14:paraId="11EA79E3">
            <w:pPr>
              <w:snapToGrid w:val="0"/>
              <w:jc w:val="center"/>
              <w:rPr>
                <w:rFonts w:hint="eastAsia" w:asciiTheme="minorEastAsia" w:hAnsiTheme="minorEastAsia" w:eastAsiaTheme="minorEastAsia" w:cstheme="minorEastAsia"/>
                <w:color w:val="000000"/>
                <w:szCs w:val="21"/>
                <w:lang w:eastAsia="zh-CN"/>
              </w:rPr>
            </w:pPr>
            <w:r>
              <w:rPr>
                <w:rFonts w:hint="eastAsia" w:asciiTheme="minorEastAsia" w:hAnsiTheme="minorEastAsia" w:eastAsiaTheme="minorEastAsia" w:cstheme="minorEastAsia"/>
                <w:color w:val="000000"/>
                <w:szCs w:val="21"/>
                <w:lang w:eastAsia="zh-CN"/>
              </w:rPr>
              <w:t>GB 4706.1-2005、GB/T 4706.1-2024</w:t>
            </w:r>
          </w:p>
        </w:tc>
      </w:tr>
      <w:tr w14:paraId="3A687F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83" w:type="dxa"/>
            <w:noWrap w:val="0"/>
            <w:vAlign w:val="center"/>
          </w:tcPr>
          <w:p w14:paraId="40472D2F">
            <w:pPr>
              <w:snapToGrid w:val="0"/>
              <w:jc w:val="center"/>
              <w:rPr>
                <w:rFonts w:hint="eastAsia"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5</w:t>
            </w:r>
          </w:p>
        </w:tc>
        <w:tc>
          <w:tcPr>
            <w:tcW w:w="3546" w:type="dxa"/>
            <w:noWrap w:val="0"/>
            <w:vAlign w:val="center"/>
          </w:tcPr>
          <w:p w14:paraId="3716F68B">
            <w:pPr>
              <w:snapToGrid w:val="0"/>
              <w:jc w:val="center"/>
              <w:rPr>
                <w:rFonts w:hint="eastAsia"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耐潮湿</w:t>
            </w:r>
          </w:p>
        </w:tc>
        <w:tc>
          <w:tcPr>
            <w:tcW w:w="4208" w:type="dxa"/>
            <w:noWrap w:val="0"/>
            <w:vAlign w:val="center"/>
          </w:tcPr>
          <w:p w14:paraId="289DA4A6">
            <w:pPr>
              <w:snapToGrid w:val="0"/>
              <w:jc w:val="center"/>
              <w:rPr>
                <w:rFonts w:hint="eastAsia" w:asciiTheme="minorEastAsia" w:hAnsiTheme="minorEastAsia" w:eastAsiaTheme="minorEastAsia" w:cstheme="minorEastAsia"/>
                <w:color w:val="000000"/>
                <w:szCs w:val="21"/>
                <w:lang w:eastAsia="zh-CN"/>
              </w:rPr>
            </w:pPr>
            <w:r>
              <w:rPr>
                <w:rFonts w:hint="eastAsia" w:asciiTheme="minorEastAsia" w:hAnsiTheme="minorEastAsia" w:eastAsiaTheme="minorEastAsia" w:cstheme="minorEastAsia"/>
                <w:color w:val="000000"/>
                <w:szCs w:val="21"/>
                <w:lang w:eastAsia="zh-CN"/>
              </w:rPr>
              <w:t>GB 4706.1-2005、GB/T 4706.1-2024</w:t>
            </w:r>
          </w:p>
        </w:tc>
      </w:tr>
      <w:tr w14:paraId="44E246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83" w:type="dxa"/>
            <w:noWrap w:val="0"/>
            <w:vAlign w:val="center"/>
          </w:tcPr>
          <w:p w14:paraId="74F208E2">
            <w:pPr>
              <w:snapToGrid w:val="0"/>
              <w:jc w:val="center"/>
              <w:rPr>
                <w:rFonts w:hint="eastAsia"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6</w:t>
            </w:r>
          </w:p>
        </w:tc>
        <w:tc>
          <w:tcPr>
            <w:tcW w:w="3546" w:type="dxa"/>
            <w:noWrap w:val="0"/>
            <w:vAlign w:val="center"/>
          </w:tcPr>
          <w:p w14:paraId="76E1038F">
            <w:pPr>
              <w:snapToGrid w:val="0"/>
              <w:jc w:val="center"/>
              <w:rPr>
                <w:rFonts w:hint="eastAsia"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泄漏电流和电气强度</w:t>
            </w:r>
          </w:p>
        </w:tc>
        <w:tc>
          <w:tcPr>
            <w:tcW w:w="4208" w:type="dxa"/>
            <w:noWrap w:val="0"/>
            <w:vAlign w:val="center"/>
          </w:tcPr>
          <w:p w14:paraId="72A846C2">
            <w:pPr>
              <w:snapToGrid w:val="0"/>
              <w:jc w:val="center"/>
              <w:rPr>
                <w:rFonts w:hint="eastAsia" w:asciiTheme="minorEastAsia" w:hAnsiTheme="minorEastAsia" w:eastAsiaTheme="minorEastAsia" w:cstheme="minorEastAsia"/>
                <w:color w:val="000000"/>
                <w:szCs w:val="21"/>
                <w:lang w:eastAsia="zh-CN"/>
              </w:rPr>
            </w:pPr>
            <w:r>
              <w:rPr>
                <w:rFonts w:hint="eastAsia" w:asciiTheme="minorEastAsia" w:hAnsiTheme="minorEastAsia" w:eastAsiaTheme="minorEastAsia" w:cstheme="minorEastAsia"/>
                <w:color w:val="000000"/>
                <w:szCs w:val="21"/>
                <w:lang w:eastAsia="zh-CN"/>
              </w:rPr>
              <w:t>GB 4706.1-2005、GB/T 4706.1-2024</w:t>
            </w:r>
          </w:p>
        </w:tc>
      </w:tr>
      <w:tr w14:paraId="798FC3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83" w:type="dxa"/>
            <w:noWrap w:val="0"/>
            <w:vAlign w:val="center"/>
          </w:tcPr>
          <w:p w14:paraId="6C331C79">
            <w:pPr>
              <w:snapToGrid w:val="0"/>
              <w:jc w:val="center"/>
              <w:rPr>
                <w:rFonts w:hint="eastAsia"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7</w:t>
            </w:r>
          </w:p>
        </w:tc>
        <w:tc>
          <w:tcPr>
            <w:tcW w:w="3546" w:type="dxa"/>
            <w:noWrap w:val="0"/>
            <w:vAlign w:val="center"/>
          </w:tcPr>
          <w:p w14:paraId="334E3433">
            <w:pPr>
              <w:snapToGrid w:val="0"/>
              <w:jc w:val="center"/>
              <w:rPr>
                <w:rFonts w:hint="eastAsia"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非正常工作（不包括第19.11.4条的试验）</w:t>
            </w:r>
          </w:p>
        </w:tc>
        <w:tc>
          <w:tcPr>
            <w:tcW w:w="4208" w:type="dxa"/>
            <w:noWrap w:val="0"/>
            <w:vAlign w:val="center"/>
          </w:tcPr>
          <w:p w14:paraId="08647DB7">
            <w:pPr>
              <w:snapToGrid w:val="0"/>
              <w:jc w:val="center"/>
              <w:rPr>
                <w:rFonts w:hint="eastAsia" w:asciiTheme="minorEastAsia" w:hAnsiTheme="minorEastAsia" w:eastAsiaTheme="minorEastAsia" w:cstheme="minorEastAsia"/>
                <w:color w:val="000000"/>
                <w:szCs w:val="21"/>
                <w:lang w:eastAsia="zh-CN"/>
              </w:rPr>
            </w:pPr>
            <w:r>
              <w:rPr>
                <w:rFonts w:hint="eastAsia" w:asciiTheme="minorEastAsia" w:hAnsiTheme="minorEastAsia" w:eastAsiaTheme="minorEastAsia" w:cstheme="minorEastAsia"/>
                <w:color w:val="000000"/>
                <w:szCs w:val="21"/>
                <w:lang w:eastAsia="zh-CN"/>
              </w:rPr>
              <w:t>GB 4706.1-2005、GB/T 4706.1-2024</w:t>
            </w:r>
          </w:p>
        </w:tc>
      </w:tr>
      <w:tr w14:paraId="62C5B3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83" w:type="dxa"/>
            <w:noWrap w:val="0"/>
            <w:vAlign w:val="center"/>
          </w:tcPr>
          <w:p w14:paraId="734C28BC">
            <w:pPr>
              <w:snapToGrid w:val="0"/>
              <w:jc w:val="center"/>
              <w:rPr>
                <w:rFonts w:hint="eastAsia"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8</w:t>
            </w:r>
          </w:p>
        </w:tc>
        <w:tc>
          <w:tcPr>
            <w:tcW w:w="3546" w:type="dxa"/>
            <w:noWrap w:val="0"/>
            <w:vAlign w:val="center"/>
          </w:tcPr>
          <w:p w14:paraId="4C15D935">
            <w:pPr>
              <w:snapToGrid w:val="0"/>
              <w:jc w:val="center"/>
              <w:rPr>
                <w:rFonts w:hint="eastAsia"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稳定性和机械危险</w:t>
            </w:r>
          </w:p>
        </w:tc>
        <w:tc>
          <w:tcPr>
            <w:tcW w:w="4208" w:type="dxa"/>
            <w:noWrap w:val="0"/>
            <w:vAlign w:val="center"/>
          </w:tcPr>
          <w:p w14:paraId="2A364630">
            <w:pPr>
              <w:snapToGrid w:val="0"/>
              <w:jc w:val="center"/>
              <w:rPr>
                <w:rFonts w:hint="eastAsia" w:asciiTheme="minorEastAsia" w:hAnsiTheme="minorEastAsia" w:eastAsiaTheme="minorEastAsia" w:cstheme="minorEastAsia"/>
                <w:color w:val="000000"/>
                <w:szCs w:val="21"/>
                <w:lang w:eastAsia="zh-CN"/>
              </w:rPr>
            </w:pPr>
            <w:r>
              <w:rPr>
                <w:rFonts w:hint="eastAsia" w:asciiTheme="minorEastAsia" w:hAnsiTheme="minorEastAsia" w:eastAsiaTheme="minorEastAsia" w:cstheme="minorEastAsia"/>
                <w:color w:val="000000"/>
                <w:szCs w:val="21"/>
                <w:lang w:eastAsia="zh-CN"/>
              </w:rPr>
              <w:t>GB 4706.1-2005、GB/T 4706.1-2024</w:t>
            </w:r>
          </w:p>
        </w:tc>
      </w:tr>
      <w:tr w14:paraId="3AAD30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83" w:type="dxa"/>
            <w:noWrap w:val="0"/>
            <w:vAlign w:val="center"/>
          </w:tcPr>
          <w:p w14:paraId="29B9589D">
            <w:pPr>
              <w:snapToGrid w:val="0"/>
              <w:jc w:val="center"/>
              <w:rPr>
                <w:rFonts w:hint="eastAsia"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9</w:t>
            </w:r>
          </w:p>
        </w:tc>
        <w:tc>
          <w:tcPr>
            <w:tcW w:w="3546" w:type="dxa"/>
            <w:noWrap w:val="0"/>
            <w:vAlign w:val="center"/>
          </w:tcPr>
          <w:p w14:paraId="6B52DDB6">
            <w:pPr>
              <w:snapToGrid w:val="0"/>
              <w:jc w:val="center"/>
              <w:rPr>
                <w:rFonts w:hint="eastAsia"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机械强度</w:t>
            </w:r>
          </w:p>
        </w:tc>
        <w:tc>
          <w:tcPr>
            <w:tcW w:w="4208" w:type="dxa"/>
            <w:noWrap w:val="0"/>
            <w:vAlign w:val="center"/>
          </w:tcPr>
          <w:p w14:paraId="6FA79F86">
            <w:pPr>
              <w:snapToGrid w:val="0"/>
              <w:jc w:val="center"/>
              <w:rPr>
                <w:rFonts w:hint="eastAsia" w:asciiTheme="minorEastAsia" w:hAnsiTheme="minorEastAsia" w:eastAsiaTheme="minorEastAsia" w:cstheme="minorEastAsia"/>
                <w:color w:val="000000"/>
                <w:szCs w:val="21"/>
                <w:lang w:eastAsia="zh-CN"/>
              </w:rPr>
            </w:pPr>
            <w:r>
              <w:rPr>
                <w:rFonts w:hint="eastAsia" w:asciiTheme="minorEastAsia" w:hAnsiTheme="minorEastAsia" w:eastAsiaTheme="minorEastAsia" w:cstheme="minorEastAsia"/>
                <w:color w:val="000000"/>
                <w:szCs w:val="21"/>
                <w:lang w:eastAsia="zh-CN"/>
              </w:rPr>
              <w:t>GB 4706.1-2005、GB/T 4706.1-2024</w:t>
            </w:r>
          </w:p>
        </w:tc>
      </w:tr>
      <w:tr w14:paraId="3B1B77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83" w:type="dxa"/>
            <w:noWrap w:val="0"/>
            <w:vAlign w:val="center"/>
          </w:tcPr>
          <w:p w14:paraId="41BF74ED">
            <w:pPr>
              <w:snapToGrid w:val="0"/>
              <w:jc w:val="center"/>
              <w:rPr>
                <w:rFonts w:hint="eastAsia"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10</w:t>
            </w:r>
          </w:p>
        </w:tc>
        <w:tc>
          <w:tcPr>
            <w:tcW w:w="3546" w:type="dxa"/>
            <w:noWrap w:val="0"/>
            <w:vAlign w:val="center"/>
          </w:tcPr>
          <w:p w14:paraId="5B4ED075">
            <w:pPr>
              <w:snapToGrid w:val="0"/>
              <w:jc w:val="center"/>
              <w:rPr>
                <w:rFonts w:hint="eastAsia"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结构（不包括第22.46条的试验）</w:t>
            </w:r>
          </w:p>
        </w:tc>
        <w:tc>
          <w:tcPr>
            <w:tcW w:w="4208" w:type="dxa"/>
            <w:noWrap w:val="0"/>
            <w:vAlign w:val="center"/>
          </w:tcPr>
          <w:p w14:paraId="636F4B42">
            <w:pPr>
              <w:snapToGrid w:val="0"/>
              <w:jc w:val="center"/>
              <w:rPr>
                <w:rFonts w:hint="eastAsia" w:asciiTheme="minorEastAsia" w:hAnsiTheme="minorEastAsia" w:eastAsiaTheme="minorEastAsia" w:cstheme="minorEastAsia"/>
                <w:color w:val="000000"/>
                <w:szCs w:val="21"/>
                <w:lang w:eastAsia="zh-CN"/>
              </w:rPr>
            </w:pPr>
            <w:r>
              <w:rPr>
                <w:rFonts w:hint="eastAsia" w:asciiTheme="minorEastAsia" w:hAnsiTheme="minorEastAsia" w:eastAsiaTheme="minorEastAsia" w:cstheme="minorEastAsia"/>
                <w:color w:val="000000"/>
                <w:szCs w:val="21"/>
                <w:lang w:eastAsia="zh-CN"/>
              </w:rPr>
              <w:t>GB 4706.1-2005、GB/T 4706.1-2024</w:t>
            </w:r>
          </w:p>
        </w:tc>
      </w:tr>
      <w:tr w14:paraId="605A7A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83" w:type="dxa"/>
            <w:noWrap w:val="0"/>
            <w:vAlign w:val="center"/>
          </w:tcPr>
          <w:p w14:paraId="63B6370F">
            <w:pPr>
              <w:snapToGrid w:val="0"/>
              <w:jc w:val="center"/>
              <w:rPr>
                <w:rFonts w:hint="eastAsia"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11</w:t>
            </w:r>
          </w:p>
        </w:tc>
        <w:tc>
          <w:tcPr>
            <w:tcW w:w="3546" w:type="dxa"/>
            <w:noWrap w:val="0"/>
            <w:vAlign w:val="center"/>
          </w:tcPr>
          <w:p w14:paraId="01CF13E0">
            <w:pPr>
              <w:snapToGrid w:val="0"/>
              <w:jc w:val="center"/>
              <w:rPr>
                <w:rFonts w:hint="eastAsia"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内部布线</w:t>
            </w:r>
          </w:p>
        </w:tc>
        <w:tc>
          <w:tcPr>
            <w:tcW w:w="4208" w:type="dxa"/>
            <w:noWrap w:val="0"/>
            <w:vAlign w:val="center"/>
          </w:tcPr>
          <w:p w14:paraId="71784324">
            <w:pPr>
              <w:snapToGrid w:val="0"/>
              <w:jc w:val="center"/>
              <w:rPr>
                <w:rFonts w:hint="eastAsia" w:asciiTheme="minorEastAsia" w:hAnsiTheme="minorEastAsia" w:eastAsiaTheme="minorEastAsia" w:cstheme="minorEastAsia"/>
                <w:color w:val="000000"/>
                <w:szCs w:val="21"/>
                <w:lang w:eastAsia="zh-CN"/>
              </w:rPr>
            </w:pPr>
            <w:r>
              <w:rPr>
                <w:rFonts w:hint="eastAsia" w:asciiTheme="minorEastAsia" w:hAnsiTheme="minorEastAsia" w:eastAsiaTheme="minorEastAsia" w:cstheme="minorEastAsia"/>
                <w:color w:val="000000"/>
                <w:szCs w:val="21"/>
                <w:lang w:eastAsia="zh-CN"/>
              </w:rPr>
              <w:t>GB 4706.1-2005、GB/T 4706.1-2024</w:t>
            </w:r>
          </w:p>
        </w:tc>
      </w:tr>
      <w:tr w14:paraId="3E0E90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83" w:type="dxa"/>
            <w:noWrap w:val="0"/>
            <w:vAlign w:val="center"/>
          </w:tcPr>
          <w:p w14:paraId="143C5DEA">
            <w:pPr>
              <w:snapToGrid w:val="0"/>
              <w:jc w:val="center"/>
              <w:rPr>
                <w:rFonts w:hint="eastAsia"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12</w:t>
            </w:r>
          </w:p>
        </w:tc>
        <w:tc>
          <w:tcPr>
            <w:tcW w:w="3546" w:type="dxa"/>
            <w:noWrap w:val="0"/>
            <w:vAlign w:val="center"/>
          </w:tcPr>
          <w:p w14:paraId="4FA57E8C">
            <w:pPr>
              <w:snapToGrid w:val="0"/>
              <w:jc w:val="center"/>
              <w:rPr>
                <w:rFonts w:hint="eastAsia"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电源连接和外部软线</w:t>
            </w:r>
          </w:p>
        </w:tc>
        <w:tc>
          <w:tcPr>
            <w:tcW w:w="4208" w:type="dxa"/>
            <w:noWrap w:val="0"/>
            <w:vAlign w:val="center"/>
          </w:tcPr>
          <w:p w14:paraId="3F1ED5C1">
            <w:pPr>
              <w:snapToGrid w:val="0"/>
              <w:jc w:val="center"/>
              <w:rPr>
                <w:rFonts w:hint="eastAsia" w:asciiTheme="minorEastAsia" w:hAnsiTheme="minorEastAsia" w:eastAsiaTheme="minorEastAsia" w:cstheme="minorEastAsia"/>
                <w:color w:val="000000"/>
                <w:szCs w:val="21"/>
                <w:lang w:eastAsia="zh-CN"/>
              </w:rPr>
            </w:pPr>
            <w:r>
              <w:rPr>
                <w:rFonts w:hint="eastAsia" w:asciiTheme="minorEastAsia" w:hAnsiTheme="minorEastAsia" w:eastAsiaTheme="minorEastAsia" w:cstheme="minorEastAsia"/>
                <w:color w:val="000000"/>
                <w:szCs w:val="21"/>
                <w:lang w:eastAsia="zh-CN"/>
              </w:rPr>
              <w:t>GB 4706.1-2005、GB/T 4706.1-2024</w:t>
            </w:r>
          </w:p>
        </w:tc>
      </w:tr>
      <w:tr w14:paraId="46253D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83" w:type="dxa"/>
            <w:noWrap w:val="0"/>
            <w:vAlign w:val="center"/>
          </w:tcPr>
          <w:p w14:paraId="33E99BF3">
            <w:pPr>
              <w:snapToGrid w:val="0"/>
              <w:jc w:val="center"/>
              <w:rPr>
                <w:rFonts w:hint="eastAsia"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13</w:t>
            </w:r>
          </w:p>
        </w:tc>
        <w:tc>
          <w:tcPr>
            <w:tcW w:w="3546" w:type="dxa"/>
            <w:noWrap w:val="0"/>
            <w:vAlign w:val="center"/>
          </w:tcPr>
          <w:p w14:paraId="4212B9B6">
            <w:pPr>
              <w:snapToGrid w:val="0"/>
              <w:jc w:val="center"/>
              <w:rPr>
                <w:rFonts w:hint="eastAsia"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外部导线用接线端子</w:t>
            </w:r>
          </w:p>
        </w:tc>
        <w:tc>
          <w:tcPr>
            <w:tcW w:w="4208" w:type="dxa"/>
            <w:noWrap w:val="0"/>
            <w:vAlign w:val="center"/>
          </w:tcPr>
          <w:p w14:paraId="62108A8C">
            <w:pPr>
              <w:snapToGrid w:val="0"/>
              <w:jc w:val="center"/>
              <w:rPr>
                <w:rFonts w:hint="eastAsia" w:asciiTheme="minorEastAsia" w:hAnsiTheme="minorEastAsia" w:eastAsiaTheme="minorEastAsia" w:cstheme="minorEastAsia"/>
                <w:color w:val="000000"/>
                <w:szCs w:val="21"/>
                <w:lang w:eastAsia="zh-CN"/>
              </w:rPr>
            </w:pPr>
            <w:r>
              <w:rPr>
                <w:rFonts w:hint="eastAsia" w:asciiTheme="minorEastAsia" w:hAnsiTheme="minorEastAsia" w:eastAsiaTheme="minorEastAsia" w:cstheme="minorEastAsia"/>
                <w:color w:val="000000"/>
                <w:szCs w:val="21"/>
                <w:lang w:eastAsia="zh-CN"/>
              </w:rPr>
              <w:t>GB 4706.1-2005、GB/T 4706.1-2024</w:t>
            </w:r>
          </w:p>
        </w:tc>
      </w:tr>
      <w:tr w14:paraId="27DAC4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83" w:type="dxa"/>
            <w:noWrap w:val="0"/>
            <w:vAlign w:val="center"/>
          </w:tcPr>
          <w:p w14:paraId="78BA91E4">
            <w:pPr>
              <w:snapToGrid w:val="0"/>
              <w:jc w:val="center"/>
              <w:rPr>
                <w:rFonts w:hint="eastAsia"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14</w:t>
            </w:r>
          </w:p>
        </w:tc>
        <w:tc>
          <w:tcPr>
            <w:tcW w:w="3546" w:type="dxa"/>
            <w:noWrap w:val="0"/>
            <w:vAlign w:val="center"/>
          </w:tcPr>
          <w:p w14:paraId="3235DD79">
            <w:pPr>
              <w:snapToGrid w:val="0"/>
              <w:jc w:val="center"/>
              <w:rPr>
                <w:rFonts w:hint="eastAsia"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接地措施</w:t>
            </w:r>
          </w:p>
        </w:tc>
        <w:tc>
          <w:tcPr>
            <w:tcW w:w="4208" w:type="dxa"/>
            <w:noWrap w:val="0"/>
            <w:vAlign w:val="center"/>
          </w:tcPr>
          <w:p w14:paraId="7A3E2EFE">
            <w:pPr>
              <w:snapToGrid w:val="0"/>
              <w:jc w:val="center"/>
              <w:rPr>
                <w:rFonts w:hint="eastAsia" w:asciiTheme="minorEastAsia" w:hAnsiTheme="minorEastAsia" w:eastAsiaTheme="minorEastAsia" w:cstheme="minorEastAsia"/>
                <w:color w:val="000000"/>
                <w:szCs w:val="21"/>
                <w:lang w:eastAsia="zh-CN"/>
              </w:rPr>
            </w:pPr>
            <w:r>
              <w:rPr>
                <w:rFonts w:hint="eastAsia" w:asciiTheme="minorEastAsia" w:hAnsiTheme="minorEastAsia" w:eastAsiaTheme="minorEastAsia" w:cstheme="minorEastAsia"/>
                <w:color w:val="000000"/>
                <w:szCs w:val="21"/>
                <w:lang w:eastAsia="zh-CN"/>
              </w:rPr>
              <w:t>GB 4706.1-2005、GB/T 4706.1-2024</w:t>
            </w:r>
          </w:p>
        </w:tc>
      </w:tr>
      <w:tr w14:paraId="12B725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83" w:type="dxa"/>
            <w:noWrap w:val="0"/>
            <w:vAlign w:val="center"/>
          </w:tcPr>
          <w:p w14:paraId="37FA6C74">
            <w:pPr>
              <w:snapToGrid w:val="0"/>
              <w:jc w:val="center"/>
              <w:rPr>
                <w:rFonts w:hint="eastAsia"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15</w:t>
            </w:r>
          </w:p>
        </w:tc>
        <w:tc>
          <w:tcPr>
            <w:tcW w:w="3546" w:type="dxa"/>
            <w:noWrap w:val="0"/>
            <w:vAlign w:val="center"/>
          </w:tcPr>
          <w:p w14:paraId="0413443F">
            <w:pPr>
              <w:snapToGrid w:val="0"/>
              <w:jc w:val="center"/>
              <w:rPr>
                <w:rFonts w:hint="eastAsia"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螺钉和连接</w:t>
            </w:r>
          </w:p>
        </w:tc>
        <w:tc>
          <w:tcPr>
            <w:tcW w:w="4208" w:type="dxa"/>
            <w:noWrap w:val="0"/>
            <w:vAlign w:val="center"/>
          </w:tcPr>
          <w:p w14:paraId="2BFBCCB0">
            <w:pPr>
              <w:snapToGrid w:val="0"/>
              <w:jc w:val="center"/>
              <w:rPr>
                <w:rFonts w:hint="eastAsia" w:asciiTheme="minorEastAsia" w:hAnsiTheme="minorEastAsia" w:eastAsiaTheme="minorEastAsia" w:cstheme="minorEastAsia"/>
                <w:color w:val="000000"/>
                <w:szCs w:val="21"/>
                <w:lang w:eastAsia="zh-CN"/>
              </w:rPr>
            </w:pPr>
            <w:r>
              <w:rPr>
                <w:rFonts w:hint="eastAsia" w:asciiTheme="minorEastAsia" w:hAnsiTheme="minorEastAsia" w:eastAsiaTheme="minorEastAsia" w:cstheme="minorEastAsia"/>
                <w:color w:val="000000"/>
                <w:szCs w:val="21"/>
                <w:lang w:eastAsia="zh-CN"/>
              </w:rPr>
              <w:t>GB 4706.1-2005、GB/T 4706.1-2024</w:t>
            </w:r>
          </w:p>
        </w:tc>
      </w:tr>
      <w:tr w14:paraId="2DBFFC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83" w:type="dxa"/>
            <w:noWrap w:val="0"/>
            <w:vAlign w:val="center"/>
          </w:tcPr>
          <w:p w14:paraId="1BCB7952">
            <w:pPr>
              <w:snapToGrid w:val="0"/>
              <w:jc w:val="center"/>
              <w:rPr>
                <w:rFonts w:hint="eastAsia"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16</w:t>
            </w:r>
          </w:p>
        </w:tc>
        <w:tc>
          <w:tcPr>
            <w:tcW w:w="3546" w:type="dxa"/>
            <w:noWrap w:val="0"/>
            <w:vAlign w:val="center"/>
          </w:tcPr>
          <w:p w14:paraId="78A321AA">
            <w:pPr>
              <w:snapToGrid w:val="0"/>
              <w:jc w:val="center"/>
              <w:rPr>
                <w:rFonts w:hint="eastAsia"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电气间隙、爬电距离和固体绝缘</w:t>
            </w:r>
          </w:p>
        </w:tc>
        <w:tc>
          <w:tcPr>
            <w:tcW w:w="4208" w:type="dxa"/>
            <w:noWrap w:val="0"/>
            <w:vAlign w:val="center"/>
          </w:tcPr>
          <w:p w14:paraId="27FCAF5E">
            <w:pPr>
              <w:snapToGrid w:val="0"/>
              <w:jc w:val="center"/>
              <w:rPr>
                <w:rFonts w:hint="eastAsia" w:asciiTheme="minorEastAsia" w:hAnsiTheme="minorEastAsia" w:eastAsiaTheme="minorEastAsia" w:cstheme="minorEastAsia"/>
                <w:color w:val="000000"/>
                <w:szCs w:val="21"/>
                <w:lang w:eastAsia="zh-CN"/>
              </w:rPr>
            </w:pPr>
            <w:r>
              <w:rPr>
                <w:rFonts w:hint="eastAsia" w:asciiTheme="minorEastAsia" w:hAnsiTheme="minorEastAsia" w:eastAsiaTheme="minorEastAsia" w:cstheme="minorEastAsia"/>
                <w:color w:val="000000"/>
                <w:szCs w:val="21"/>
                <w:lang w:eastAsia="zh-CN"/>
              </w:rPr>
              <w:t>GB 4706.1-2005、GB/T 4706.1-2024</w:t>
            </w:r>
          </w:p>
        </w:tc>
      </w:tr>
    </w:tbl>
    <w:p w14:paraId="305D5004">
      <w:pPr>
        <w:snapToGrid w:val="0"/>
        <w:spacing w:line="440" w:lineRule="exact"/>
        <w:ind w:firstLine="420" w:firstLineChars="200"/>
        <w:rPr>
          <w:rFonts w:hint="eastAsia"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执行企业标准、团体标准、地方标准的产品，检验项目参照上述内容执行。</w:t>
      </w:r>
    </w:p>
    <w:p w14:paraId="5FDACAB8">
      <w:pPr>
        <w:snapToGrid w:val="0"/>
        <w:spacing w:line="440" w:lineRule="exact"/>
        <w:ind w:firstLine="420" w:firstLineChars="200"/>
        <w:rPr>
          <w:rFonts w:hint="eastAsia"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凡是注日期的文件，其随后所有的修改单（不包括勘误的内容）或修订版不适用于本细则。凡是不注日期的文件，其最新版本适用于本细则。</w:t>
      </w:r>
    </w:p>
    <w:p w14:paraId="63ED41D6">
      <w:pPr>
        <w:snapToGrid w:val="0"/>
        <w:spacing w:line="440" w:lineRule="exact"/>
        <w:ind w:firstLine="420" w:firstLineChars="200"/>
        <w:rPr>
          <w:rFonts w:hint="eastAsia" w:asciiTheme="minorEastAsia" w:hAnsiTheme="minorEastAsia" w:eastAsiaTheme="minorEastAsia" w:cstheme="minorEastAsia"/>
          <w:color w:val="000000"/>
          <w:szCs w:val="21"/>
        </w:rPr>
      </w:pPr>
    </w:p>
    <w:p w14:paraId="2F20E1AA">
      <w:pPr>
        <w:spacing w:line="400" w:lineRule="exact"/>
        <w:rPr>
          <w:rFonts w:hint="eastAsia" w:ascii="黑体" w:hAnsi="黑体" w:eastAsia="黑体" w:cs="黑体"/>
          <w:bCs/>
        </w:rPr>
      </w:pPr>
      <w:r>
        <w:rPr>
          <w:rFonts w:hint="eastAsia" w:ascii="黑体" w:hAnsi="黑体" w:eastAsia="黑体" w:cs="黑体"/>
          <w:bCs/>
        </w:rPr>
        <w:t>3 判定规则</w:t>
      </w:r>
    </w:p>
    <w:p w14:paraId="326ED8C4">
      <w:pPr>
        <w:snapToGrid w:val="0"/>
        <w:spacing w:line="440" w:lineRule="exact"/>
        <w:rPr>
          <w:rFonts w:hint="eastAsia"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3.1依据标准</w:t>
      </w:r>
    </w:p>
    <w:p w14:paraId="7F3B14A5">
      <w:pPr>
        <w:snapToGrid w:val="0"/>
        <w:spacing w:line="440" w:lineRule="exact"/>
        <w:ind w:firstLine="420" w:firstLineChars="200"/>
        <w:rPr>
          <w:rFonts w:hint="eastAsia"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GB 4706.1</w:t>
      </w:r>
      <w:r>
        <w:rPr>
          <w:rFonts w:hint="eastAsia" w:asciiTheme="minorEastAsia" w:hAnsiTheme="minorEastAsia" w:eastAsiaTheme="minorEastAsia" w:cstheme="minorEastAsia"/>
          <w:color w:val="000000"/>
          <w:szCs w:val="21"/>
          <w:lang w:eastAsia="zh-CN"/>
        </w:rPr>
        <w:t>—</w:t>
      </w:r>
      <w:r>
        <w:rPr>
          <w:rFonts w:hint="eastAsia" w:asciiTheme="minorEastAsia" w:hAnsiTheme="minorEastAsia" w:eastAsiaTheme="minorEastAsia" w:cstheme="minorEastAsia"/>
          <w:color w:val="000000"/>
          <w:szCs w:val="21"/>
        </w:rPr>
        <w:t>2005 家用和类似用途电器的安全 第1部分：通用要求</w:t>
      </w:r>
    </w:p>
    <w:p w14:paraId="1349FCC4">
      <w:pPr>
        <w:snapToGrid w:val="0"/>
        <w:spacing w:line="440" w:lineRule="exact"/>
        <w:ind w:firstLine="420" w:firstLineChars="200"/>
        <w:rPr>
          <w:rFonts w:hint="eastAsia" w:asciiTheme="minorEastAsia" w:hAnsiTheme="minorEastAsia" w:eastAsiaTheme="minorEastAsia" w:cstheme="minorEastAsia"/>
          <w:color w:val="000000"/>
          <w:szCs w:val="21"/>
        </w:rPr>
      </w:pPr>
      <w:r>
        <w:rPr>
          <w:rFonts w:hint="eastAsia" w:ascii="宋体" w:hAnsi="宋体" w:eastAsia="宋体" w:cs="宋体"/>
          <w:color w:val="000000"/>
          <w:szCs w:val="21"/>
        </w:rPr>
        <w:t>GB</w:t>
      </w:r>
      <w:r>
        <w:rPr>
          <w:rFonts w:hint="eastAsia" w:ascii="宋体" w:hAnsi="宋体" w:eastAsia="宋体" w:cs="宋体"/>
          <w:color w:val="000000"/>
          <w:szCs w:val="21"/>
          <w:lang w:val="en-US" w:eastAsia="zh-CN"/>
        </w:rPr>
        <w:t>/T</w:t>
      </w:r>
      <w:r>
        <w:rPr>
          <w:rFonts w:hint="eastAsia" w:ascii="宋体" w:hAnsi="宋体" w:eastAsia="宋体" w:cs="宋体"/>
          <w:color w:val="000000"/>
          <w:szCs w:val="21"/>
        </w:rPr>
        <w:t xml:space="preserve"> 4706.1</w:t>
      </w:r>
      <w:r>
        <w:rPr>
          <w:rFonts w:hint="eastAsia" w:ascii="宋体" w:hAnsi="宋体" w:cs="宋体"/>
          <w:color w:val="000000"/>
          <w:szCs w:val="21"/>
          <w:lang w:eastAsia="zh-CN"/>
        </w:rPr>
        <w:t>—</w:t>
      </w:r>
      <w:r>
        <w:rPr>
          <w:rFonts w:hint="eastAsia" w:ascii="宋体" w:hAnsi="宋体" w:eastAsia="宋体" w:cs="宋体"/>
          <w:color w:val="000000"/>
          <w:szCs w:val="21"/>
        </w:rPr>
        <w:t>20</w:t>
      </w:r>
      <w:r>
        <w:rPr>
          <w:rFonts w:hint="eastAsia" w:ascii="宋体" w:hAnsi="宋体" w:eastAsia="宋体" w:cs="宋体"/>
          <w:color w:val="000000"/>
          <w:szCs w:val="21"/>
          <w:lang w:val="en-US" w:eastAsia="zh-CN"/>
        </w:rPr>
        <w:t xml:space="preserve">24 </w:t>
      </w:r>
      <w:r>
        <w:rPr>
          <w:rFonts w:hint="default" w:ascii="宋体" w:hAnsi="宋体" w:eastAsia="宋体" w:cs="宋体"/>
          <w:color w:val="000000"/>
          <w:szCs w:val="21"/>
        </w:rPr>
        <w:t>家用和类似用途电器的安全 第1部分：通用要求</w:t>
      </w:r>
    </w:p>
    <w:p w14:paraId="1298C6D5">
      <w:pPr>
        <w:snapToGrid w:val="0"/>
        <w:spacing w:line="440" w:lineRule="exact"/>
        <w:ind w:firstLine="420" w:firstLineChars="200"/>
        <w:rPr>
          <w:rFonts w:hint="eastAsia"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现行有效的企业标准、团体标准、地方标准及产品明示质量要求</w:t>
      </w:r>
    </w:p>
    <w:p w14:paraId="1B8E1D89">
      <w:pPr>
        <w:snapToGrid w:val="0"/>
        <w:spacing w:line="440" w:lineRule="exact"/>
        <w:rPr>
          <w:rFonts w:hint="eastAsia"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3.2判定原则</w:t>
      </w:r>
    </w:p>
    <w:p w14:paraId="1F193962">
      <w:pPr>
        <w:snapToGrid w:val="0"/>
        <w:spacing w:line="440" w:lineRule="exact"/>
        <w:ind w:firstLine="420" w:firstLineChars="200"/>
        <w:rPr>
          <w:rFonts w:hint="eastAsia" w:asciiTheme="minorEastAsia" w:hAnsiTheme="minorEastAsia" w:eastAsiaTheme="minorEastAsia" w:cstheme="minorEastAsia"/>
          <w:color w:val="000000"/>
          <w:szCs w:val="21"/>
        </w:rPr>
      </w:pPr>
      <w:r>
        <w:rPr>
          <w:rFonts w:hint="eastAsia" w:asciiTheme="minorEastAsia" w:hAnsiTheme="minorEastAsia" w:eastAsiaTheme="minorEastAsia" w:cstheme="minorEastAsia"/>
          <w:szCs w:val="21"/>
        </w:rPr>
        <w:t>经检验，检验项目全部合格，判定为被抽查产品所检项目未发现不合格；检验项目中任一项或一项以上不合格，判定为被抽查产品不合格</w:t>
      </w:r>
      <w:r>
        <w:rPr>
          <w:rFonts w:hint="eastAsia" w:asciiTheme="minorEastAsia" w:hAnsiTheme="minorEastAsia" w:eastAsiaTheme="minorEastAsia" w:cstheme="minorEastAsia"/>
          <w:color w:val="000000"/>
          <w:szCs w:val="21"/>
        </w:rPr>
        <w:t>。</w:t>
      </w:r>
    </w:p>
    <w:p w14:paraId="7F1A1203">
      <w:pPr>
        <w:snapToGrid w:val="0"/>
        <w:spacing w:line="440" w:lineRule="exact"/>
        <w:ind w:firstLine="417" w:firstLineChars="199"/>
        <w:rPr>
          <w:rFonts w:hint="eastAsia"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若被检产品明示的质量要求高于本细则中检验项目依据的标准要求时，应按被检产品明示的质量要求判定。</w:t>
      </w:r>
    </w:p>
    <w:p w14:paraId="00A81B4B">
      <w:pPr>
        <w:snapToGrid w:val="0"/>
        <w:spacing w:line="440" w:lineRule="exact"/>
        <w:ind w:firstLine="417" w:firstLineChars="199"/>
        <w:rPr>
          <w:rFonts w:hint="eastAsia"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若被检产品明示的质量要求低于本细则中检验项目依据的强制性标准要求时，应按照强制性标准要求判定。</w:t>
      </w:r>
    </w:p>
    <w:p w14:paraId="54F00B9D">
      <w:pPr>
        <w:snapToGrid w:val="0"/>
        <w:spacing w:line="440" w:lineRule="exact"/>
        <w:ind w:firstLine="417" w:firstLineChars="199"/>
        <w:rPr>
          <w:rFonts w:hint="eastAsia"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若被检产品明示的质量要求低于或包含本细则中检验项目依据的推荐性标准要求时，应以被检产品明示的质量要求判定。</w:t>
      </w:r>
    </w:p>
    <w:p w14:paraId="26076835">
      <w:pPr>
        <w:snapToGrid w:val="0"/>
        <w:spacing w:line="440" w:lineRule="exact"/>
        <w:ind w:firstLine="417" w:firstLineChars="199"/>
        <w:rPr>
          <w:rFonts w:hint="eastAsia"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若被检产品明示的质量要求缺少本细则中检验项目依据的强制性标准要求时，应按照强制性标准要求判定。</w:t>
      </w:r>
    </w:p>
    <w:p w14:paraId="79FE8842">
      <w:pPr>
        <w:snapToGrid w:val="0"/>
        <w:spacing w:line="440" w:lineRule="exact"/>
        <w:ind w:firstLine="417" w:firstLineChars="199"/>
        <w:rPr>
          <w:rFonts w:hint="eastAsia"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若被检产品明示的质量要求缺少本细则中检验项目依据的推荐性标准要求时，该项目不参与判定。</w:t>
      </w:r>
    </w:p>
    <w:p w14:paraId="64BE26B7">
      <w:pPr>
        <w:spacing w:line="400" w:lineRule="exact"/>
        <w:rPr>
          <w:rFonts w:ascii="宋体" w:hAnsi="宋体"/>
          <w:b w:val="0"/>
          <w:bCs/>
        </w:rPr>
      </w:pPr>
      <w:bookmarkStart w:id="0" w:name="_GoBack"/>
      <w:r>
        <w:rPr>
          <w:rFonts w:hint="eastAsia" w:ascii="宋体" w:hAnsi="宋体"/>
          <w:b w:val="0"/>
          <w:bCs/>
          <w:lang w:val="en-US" w:eastAsia="zh-CN"/>
        </w:rPr>
        <w:t>3</w:t>
      </w:r>
      <w:r>
        <w:rPr>
          <w:rFonts w:hint="eastAsia" w:ascii="宋体" w:hAnsi="宋体"/>
          <w:b w:val="0"/>
          <w:bCs/>
        </w:rPr>
        <w:t>.3结论用语</w:t>
      </w:r>
    </w:p>
    <w:p w14:paraId="65154CA7">
      <w:pPr>
        <w:spacing w:line="400" w:lineRule="exact"/>
        <w:ind w:firstLine="420" w:firstLineChars="200"/>
        <w:rPr>
          <w:rFonts w:ascii="宋体" w:hAnsi="宋体"/>
        </w:rPr>
      </w:pPr>
      <w:r>
        <w:rPr>
          <w:rFonts w:ascii="宋体" w:hAnsi="宋体"/>
        </w:rPr>
        <w:t>经抽样检验，所检项目符合</w:t>
      </w:r>
      <w:r>
        <w:rPr>
          <w:rFonts w:hint="eastAsia" w:ascii="宋体" w:hAnsi="宋体"/>
          <w:color w:val="000000"/>
          <w:lang w:val="en-US" w:eastAsia="zh-CN"/>
        </w:rPr>
        <w:t>XX</w:t>
      </w:r>
      <w:r>
        <w:rPr>
          <w:rFonts w:ascii="宋体" w:hAnsi="宋体"/>
        </w:rPr>
        <w:t>标准，依据</w:t>
      </w:r>
      <w:r>
        <w:rPr>
          <w:rFonts w:hint="eastAsia" w:ascii="宋体" w:hAnsi="宋体"/>
        </w:rPr>
        <w:t>《</w:t>
      </w:r>
      <w:r>
        <w:rPr>
          <w:rFonts w:hint="eastAsia" w:ascii="宋体" w:hAnsi="宋体"/>
          <w:lang w:eastAsia="zh-CN"/>
        </w:rPr>
        <w:t>202</w:t>
      </w:r>
      <w:r>
        <w:rPr>
          <w:rFonts w:hint="eastAsia" w:ascii="宋体" w:hAnsi="宋体"/>
          <w:lang w:val="en-US" w:eastAsia="zh-CN"/>
        </w:rPr>
        <w:t>6</w:t>
      </w:r>
      <w:r>
        <w:rPr>
          <w:rFonts w:hint="eastAsia" w:ascii="宋体" w:hAnsi="宋体"/>
          <w:lang w:eastAsia="zh-CN"/>
        </w:rPr>
        <w:t>年</w:t>
      </w:r>
      <w:r>
        <w:rPr>
          <w:rFonts w:hint="eastAsia" w:ascii="宋体" w:hAnsi="宋体"/>
          <w:lang w:val="en-US" w:eastAsia="zh-CN"/>
        </w:rPr>
        <w:t>六安</w:t>
      </w:r>
      <w:r>
        <w:rPr>
          <w:rFonts w:hint="eastAsia" w:ascii="宋体" w:hAnsi="宋体"/>
          <w:lang w:eastAsia="zh-CN"/>
        </w:rPr>
        <w:t>市</w:t>
      </w:r>
      <w:r>
        <w:rPr>
          <w:rFonts w:hint="eastAsia" w:ascii="宋体" w:hAnsi="宋体"/>
          <w:lang w:val="en-US" w:eastAsia="zh-CN"/>
        </w:rPr>
        <w:t>水暖毯</w:t>
      </w:r>
      <w:r>
        <w:rPr>
          <w:rFonts w:hint="eastAsia" w:ascii="宋体" w:hAnsi="宋体"/>
        </w:rPr>
        <w:t>产品质量监督抽查实施细则》</w:t>
      </w:r>
      <w:r>
        <w:rPr>
          <w:rFonts w:ascii="宋体" w:hAnsi="宋体"/>
        </w:rPr>
        <w:t>，判定为</w:t>
      </w:r>
      <w:r>
        <w:rPr>
          <w:rFonts w:hint="eastAsia" w:ascii="宋体" w:hAnsi="宋体"/>
          <w:lang w:val="en-US" w:eastAsia="zh-CN"/>
        </w:rPr>
        <w:t>未发现不</w:t>
      </w:r>
      <w:r>
        <w:rPr>
          <w:rFonts w:ascii="宋体" w:hAnsi="宋体"/>
        </w:rPr>
        <w:t>合格。</w:t>
      </w:r>
    </w:p>
    <w:p w14:paraId="6BED8FC0">
      <w:pPr>
        <w:spacing w:line="400" w:lineRule="exact"/>
        <w:ind w:firstLine="420" w:firstLineChars="200"/>
        <w:rPr>
          <w:rFonts w:ascii="宋体" w:hAnsi="宋体"/>
        </w:rPr>
      </w:pPr>
      <w:r>
        <w:rPr>
          <w:rFonts w:ascii="宋体" w:hAnsi="宋体"/>
        </w:rPr>
        <w:t>经抽样检验，</w:t>
      </w:r>
      <w:r>
        <w:rPr>
          <w:rFonts w:hint="eastAsia" w:ascii="宋体" w:hAnsi="宋体"/>
          <w:lang w:val="en-US" w:eastAsia="zh-CN"/>
        </w:rPr>
        <w:t>XX</w:t>
      </w:r>
      <w:r>
        <w:rPr>
          <w:rFonts w:ascii="宋体" w:hAnsi="宋体"/>
        </w:rPr>
        <w:t>项目不符</w:t>
      </w:r>
      <w:r>
        <w:rPr>
          <w:color w:val="000000"/>
        </w:rPr>
        <w:t>合</w:t>
      </w:r>
      <w:r>
        <w:rPr>
          <w:rFonts w:hint="eastAsia" w:ascii="宋体" w:hAnsi="宋体"/>
          <w:lang w:val="en-US" w:eastAsia="zh-CN"/>
        </w:rPr>
        <w:t>XX</w:t>
      </w:r>
      <w:r>
        <w:rPr>
          <w:color w:val="000000"/>
        </w:rPr>
        <w:t>标</w:t>
      </w:r>
      <w:r>
        <w:rPr>
          <w:rFonts w:ascii="宋体" w:hAnsi="宋体"/>
        </w:rPr>
        <w:t>准，依据</w:t>
      </w:r>
      <w:r>
        <w:rPr>
          <w:rFonts w:hint="eastAsia" w:ascii="宋体" w:hAnsi="宋体"/>
        </w:rPr>
        <w:t>《</w:t>
      </w:r>
      <w:r>
        <w:rPr>
          <w:rFonts w:hint="eastAsia" w:ascii="宋体" w:hAnsi="宋体"/>
          <w:lang w:eastAsia="zh-CN"/>
        </w:rPr>
        <w:t>202</w:t>
      </w:r>
      <w:r>
        <w:rPr>
          <w:rFonts w:hint="eastAsia" w:ascii="宋体" w:hAnsi="宋体"/>
          <w:lang w:val="en-US" w:eastAsia="zh-CN"/>
        </w:rPr>
        <w:t>6</w:t>
      </w:r>
      <w:r>
        <w:rPr>
          <w:rFonts w:hint="eastAsia" w:ascii="宋体" w:hAnsi="宋体"/>
          <w:lang w:eastAsia="zh-CN"/>
        </w:rPr>
        <w:t>年</w:t>
      </w:r>
      <w:r>
        <w:rPr>
          <w:rFonts w:hint="eastAsia" w:ascii="宋体" w:hAnsi="宋体"/>
          <w:lang w:val="en-US" w:eastAsia="zh-CN"/>
        </w:rPr>
        <w:t>六安</w:t>
      </w:r>
      <w:r>
        <w:rPr>
          <w:rFonts w:hint="eastAsia" w:ascii="宋体" w:hAnsi="宋体"/>
          <w:lang w:eastAsia="zh-CN"/>
        </w:rPr>
        <w:t>市</w:t>
      </w:r>
      <w:r>
        <w:rPr>
          <w:rFonts w:hint="eastAsia" w:ascii="宋体" w:hAnsi="宋体"/>
          <w:lang w:val="en-US" w:eastAsia="zh-CN"/>
        </w:rPr>
        <w:t>水暖毯</w:t>
      </w:r>
      <w:r>
        <w:rPr>
          <w:rFonts w:hint="eastAsia" w:ascii="宋体" w:hAnsi="宋体"/>
        </w:rPr>
        <w:t>产品质量监督抽查实施细则》</w:t>
      </w:r>
      <w:r>
        <w:rPr>
          <w:rFonts w:ascii="宋体" w:hAnsi="宋体"/>
        </w:rPr>
        <w:t>，判定为不合格。</w:t>
      </w:r>
    </w:p>
    <w:bookmarkEnd w:id="0"/>
    <w:p w14:paraId="6D1C048B">
      <w:pPr>
        <w:spacing w:line="400" w:lineRule="exact"/>
        <w:ind w:firstLine="420" w:firstLineChars="200"/>
        <w:rPr>
          <w:rFonts w:ascii="宋体" w:hAnsi="宋体"/>
        </w:rPr>
      </w:pPr>
    </w:p>
    <w:p w14:paraId="45153353">
      <w:pPr>
        <w:spacing w:line="400" w:lineRule="exact"/>
        <w:rPr>
          <w:rFonts w:ascii="宋体" w:hAnsi="宋体"/>
          <w:b/>
        </w:rPr>
      </w:pPr>
      <w:r>
        <w:rPr>
          <w:rFonts w:hint="eastAsia" w:ascii="黑体" w:hAnsi="黑体" w:eastAsia="黑体" w:cs="黑体"/>
          <w:bCs/>
          <w:lang w:val="en-US" w:eastAsia="zh-CN"/>
        </w:rPr>
        <w:t>4</w:t>
      </w:r>
      <w:r>
        <w:rPr>
          <w:rFonts w:hint="eastAsia" w:ascii="黑体" w:hAnsi="黑体" w:eastAsia="黑体" w:cs="黑体"/>
          <w:bCs/>
        </w:rPr>
        <w:t xml:space="preserve">  附则</w:t>
      </w:r>
    </w:p>
    <w:p w14:paraId="47CC90A8">
      <w:pPr>
        <w:spacing w:line="400" w:lineRule="exact"/>
        <w:ind w:firstLine="420" w:firstLineChars="200"/>
        <w:rPr>
          <w:rFonts w:hint="eastAsia" w:ascii="宋体" w:hAnsi="宋体"/>
        </w:rPr>
      </w:pPr>
      <w:r>
        <w:rPr>
          <w:rFonts w:hint="eastAsia" w:ascii="宋体" w:hAnsi="宋体"/>
        </w:rPr>
        <w:t>本细则由安徽省产品质量监督检验研究院编制，</w:t>
      </w:r>
      <w:r>
        <w:rPr>
          <w:rFonts w:hint="eastAsia" w:ascii="宋体" w:hAnsi="宋体"/>
          <w:lang w:eastAsia="zh-CN"/>
        </w:rPr>
        <w:t>六安市</w:t>
      </w:r>
      <w:r>
        <w:rPr>
          <w:rFonts w:hint="eastAsia" w:ascii="宋体" w:hAnsi="宋体"/>
        </w:rPr>
        <w:t>市场监督管理局管理。</w:t>
      </w:r>
    </w:p>
    <w:sectPr>
      <w:headerReference r:id="rId3" w:type="default"/>
      <w:footerReference r:id="rId4" w:type="default"/>
      <w:pgSz w:w="11906" w:h="16838"/>
      <w:pgMar w:top="1985" w:right="1474" w:bottom="1644" w:left="1474" w:header="851" w:footer="1191"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3EBBD650-5A07-4FB5-BE1E-4884E742A2DF}"/>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方正仿宋简体">
    <w:panose1 w:val="02000000000000000000"/>
    <w:charset w:val="86"/>
    <w:family w:val="auto"/>
    <w:pitch w:val="default"/>
    <w:sig w:usb0="A00002BF" w:usb1="184F6CFA" w:usb2="00000012" w:usb3="00000000" w:csb0="00040001" w:csb1="00000000"/>
    <w:embedRegular r:id="rId2" w:fontKey="{FC6EB0D3-A77E-4F52-81DA-0DA18F6B4731}"/>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E9635C">
    <w:pPr>
      <w:pStyle w:val="5"/>
      <w:jc w:val="center"/>
    </w:pPr>
    <w:r>
      <w:rPr>
        <w:lang w:val="zh-CN"/>
      </w:rPr>
      <w:fldChar w:fldCharType="begin"/>
    </w:r>
    <w:r>
      <w:rPr>
        <w:lang w:val="zh-CN"/>
      </w:rPr>
      <w:instrText xml:space="preserve"> PAGE   \* MERGEFORMAT </w:instrText>
    </w:r>
    <w:r>
      <w:rPr>
        <w:lang w:val="zh-CN"/>
      </w:rPr>
      <w:fldChar w:fldCharType="separate"/>
    </w:r>
    <w:r>
      <w:t>2</w:t>
    </w:r>
    <w:r>
      <w:rPr>
        <w:lang w:val="zh-CN"/>
      </w:rPr>
      <w:fldChar w:fldCharType="end"/>
    </w:r>
  </w:p>
  <w:p w14:paraId="58849E7C">
    <w:pPr>
      <w:pStyle w:val="5"/>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B9BBD7">
    <w:pPr>
      <w:pStyle w:val="6"/>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105"/>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FlYzJkNjMyNGUxYzIxMzFiMGJlMmIyNTRjNjM4NTUifQ=="/>
  </w:docVars>
  <w:rsids>
    <w:rsidRoot w:val="00172A27"/>
    <w:rsid w:val="00047111"/>
    <w:rsid w:val="00051A44"/>
    <w:rsid w:val="00081CBD"/>
    <w:rsid w:val="00096B79"/>
    <w:rsid w:val="000976DE"/>
    <w:rsid w:val="0011241A"/>
    <w:rsid w:val="00150DAB"/>
    <w:rsid w:val="0016407C"/>
    <w:rsid w:val="001808E6"/>
    <w:rsid w:val="001809DD"/>
    <w:rsid w:val="00181B42"/>
    <w:rsid w:val="00253624"/>
    <w:rsid w:val="00287D02"/>
    <w:rsid w:val="002D7F8A"/>
    <w:rsid w:val="002E0D1D"/>
    <w:rsid w:val="003145BD"/>
    <w:rsid w:val="003203A3"/>
    <w:rsid w:val="003228CA"/>
    <w:rsid w:val="00335CCC"/>
    <w:rsid w:val="00345536"/>
    <w:rsid w:val="003463EE"/>
    <w:rsid w:val="003B4339"/>
    <w:rsid w:val="003C2A38"/>
    <w:rsid w:val="003C388C"/>
    <w:rsid w:val="003D5159"/>
    <w:rsid w:val="003E61BF"/>
    <w:rsid w:val="003E733D"/>
    <w:rsid w:val="00432DF3"/>
    <w:rsid w:val="00445E86"/>
    <w:rsid w:val="00474E04"/>
    <w:rsid w:val="00490C4D"/>
    <w:rsid w:val="004A1DB2"/>
    <w:rsid w:val="004D0C5A"/>
    <w:rsid w:val="004D51D1"/>
    <w:rsid w:val="004E1396"/>
    <w:rsid w:val="0050080D"/>
    <w:rsid w:val="00542056"/>
    <w:rsid w:val="00563EBC"/>
    <w:rsid w:val="00571D8C"/>
    <w:rsid w:val="00654E3F"/>
    <w:rsid w:val="00683D43"/>
    <w:rsid w:val="00696BFC"/>
    <w:rsid w:val="006C1BAF"/>
    <w:rsid w:val="006F0971"/>
    <w:rsid w:val="006F14DE"/>
    <w:rsid w:val="00715DF8"/>
    <w:rsid w:val="00720592"/>
    <w:rsid w:val="0072334C"/>
    <w:rsid w:val="007345C8"/>
    <w:rsid w:val="007502D3"/>
    <w:rsid w:val="007577C0"/>
    <w:rsid w:val="00795E7D"/>
    <w:rsid w:val="00800BD7"/>
    <w:rsid w:val="00811834"/>
    <w:rsid w:val="00822800"/>
    <w:rsid w:val="0083209B"/>
    <w:rsid w:val="00894E9C"/>
    <w:rsid w:val="00895BEA"/>
    <w:rsid w:val="008A3497"/>
    <w:rsid w:val="008C56E3"/>
    <w:rsid w:val="00917A54"/>
    <w:rsid w:val="00941C84"/>
    <w:rsid w:val="00994708"/>
    <w:rsid w:val="00995E20"/>
    <w:rsid w:val="009D6A63"/>
    <w:rsid w:val="00A41E97"/>
    <w:rsid w:val="00A43553"/>
    <w:rsid w:val="00A5384A"/>
    <w:rsid w:val="00A53E26"/>
    <w:rsid w:val="00A61222"/>
    <w:rsid w:val="00A707B3"/>
    <w:rsid w:val="00AB75D2"/>
    <w:rsid w:val="00AE48F0"/>
    <w:rsid w:val="00B01AD1"/>
    <w:rsid w:val="00B34CC1"/>
    <w:rsid w:val="00B96844"/>
    <w:rsid w:val="00BB5EDF"/>
    <w:rsid w:val="00C0524F"/>
    <w:rsid w:val="00C26074"/>
    <w:rsid w:val="00C83B0A"/>
    <w:rsid w:val="00C9232D"/>
    <w:rsid w:val="00CA7A9F"/>
    <w:rsid w:val="00CC7CD1"/>
    <w:rsid w:val="00CE1E0C"/>
    <w:rsid w:val="00CE277E"/>
    <w:rsid w:val="00D22BFB"/>
    <w:rsid w:val="00D40022"/>
    <w:rsid w:val="00D56867"/>
    <w:rsid w:val="00D95A74"/>
    <w:rsid w:val="00DD2B76"/>
    <w:rsid w:val="00E02A7F"/>
    <w:rsid w:val="00E04A41"/>
    <w:rsid w:val="00E07880"/>
    <w:rsid w:val="00E82621"/>
    <w:rsid w:val="00E95014"/>
    <w:rsid w:val="00EB686B"/>
    <w:rsid w:val="00F340F4"/>
    <w:rsid w:val="00F42ED0"/>
    <w:rsid w:val="00F77C9A"/>
    <w:rsid w:val="00FB576C"/>
    <w:rsid w:val="00FC427A"/>
    <w:rsid w:val="00FD17E5"/>
    <w:rsid w:val="00FD2AA6"/>
    <w:rsid w:val="00FE7E8A"/>
    <w:rsid w:val="0B7872CA"/>
    <w:rsid w:val="0D0C4E7F"/>
    <w:rsid w:val="13AE2A93"/>
    <w:rsid w:val="24D21163"/>
    <w:rsid w:val="29F944C6"/>
    <w:rsid w:val="2D0C7A04"/>
    <w:rsid w:val="2FA81F45"/>
    <w:rsid w:val="369640B2"/>
    <w:rsid w:val="39797EAC"/>
    <w:rsid w:val="3A5D08A9"/>
    <w:rsid w:val="469E52DE"/>
    <w:rsid w:val="4A6411B7"/>
    <w:rsid w:val="51A651CA"/>
    <w:rsid w:val="51E33DBA"/>
    <w:rsid w:val="53C243C2"/>
    <w:rsid w:val="542C5018"/>
    <w:rsid w:val="54F90D84"/>
    <w:rsid w:val="5D0864F6"/>
    <w:rsid w:val="631F1A2F"/>
    <w:rsid w:val="67EC711F"/>
    <w:rsid w:val="6A882E08"/>
    <w:rsid w:val="71B50686"/>
    <w:rsid w:val="72CD0967"/>
    <w:rsid w:val="754E1E94"/>
    <w:rsid w:val="76F40688"/>
    <w:rsid w:val="78BD5FBE"/>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nhideWhenUsed="0" w:uiPriority="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qFormat/>
    <w:uiPriority w:val="0"/>
  </w:style>
  <w:style w:type="table" w:default="1" w:styleId="7">
    <w:name w:val="Normal Table"/>
    <w:unhideWhenUsed/>
    <w:qFormat/>
    <w:uiPriority w:val="99"/>
    <w:tblPr>
      <w:tblCellMar>
        <w:top w:w="0" w:type="dxa"/>
        <w:left w:w="108" w:type="dxa"/>
        <w:bottom w:w="0" w:type="dxa"/>
        <w:right w:w="108" w:type="dxa"/>
      </w:tblCellMar>
    </w:tblPr>
  </w:style>
  <w:style w:type="paragraph" w:styleId="2">
    <w:name w:val="annotation text"/>
    <w:basedOn w:val="1"/>
    <w:link w:val="10"/>
    <w:unhideWhenUsed/>
    <w:qFormat/>
    <w:uiPriority w:val="99"/>
    <w:pPr>
      <w:jc w:val="left"/>
    </w:pPr>
  </w:style>
  <w:style w:type="paragraph" w:styleId="3">
    <w:name w:val="Plain Text"/>
    <w:basedOn w:val="1"/>
    <w:link w:val="11"/>
    <w:unhideWhenUsed/>
    <w:qFormat/>
    <w:uiPriority w:val="99"/>
    <w:rPr>
      <w:rFonts w:ascii="宋体" w:hAnsi="Courier New"/>
      <w:kern w:val="0"/>
      <w:sz w:val="20"/>
      <w:szCs w:val="20"/>
    </w:rPr>
  </w:style>
  <w:style w:type="paragraph" w:styleId="4">
    <w:name w:val="Balloon Text"/>
    <w:basedOn w:val="1"/>
    <w:link w:val="12"/>
    <w:unhideWhenUsed/>
    <w:qFormat/>
    <w:uiPriority w:val="99"/>
    <w:rPr>
      <w:sz w:val="18"/>
      <w:szCs w:val="18"/>
    </w:rPr>
  </w:style>
  <w:style w:type="paragraph" w:styleId="5">
    <w:name w:val="footer"/>
    <w:basedOn w:val="1"/>
    <w:link w:val="13"/>
    <w:unhideWhenUsed/>
    <w:qFormat/>
    <w:uiPriority w:val="99"/>
    <w:pPr>
      <w:tabs>
        <w:tab w:val="center" w:pos="4153"/>
        <w:tab w:val="right" w:pos="8306"/>
      </w:tabs>
      <w:snapToGrid w:val="0"/>
      <w:jc w:val="left"/>
    </w:pPr>
    <w:rPr>
      <w:sz w:val="18"/>
      <w:szCs w:val="18"/>
    </w:rPr>
  </w:style>
  <w:style w:type="paragraph" w:styleId="6">
    <w:name w:val="header"/>
    <w:basedOn w:val="1"/>
    <w:link w:val="14"/>
    <w:unhideWhenUsed/>
    <w:qFormat/>
    <w:uiPriority w:val="99"/>
    <w:pPr>
      <w:pBdr>
        <w:bottom w:val="single" w:color="auto" w:sz="6" w:space="1"/>
      </w:pBdr>
      <w:tabs>
        <w:tab w:val="center" w:pos="4153"/>
        <w:tab w:val="right" w:pos="8306"/>
      </w:tabs>
      <w:snapToGrid w:val="0"/>
      <w:jc w:val="center"/>
    </w:pPr>
    <w:rPr>
      <w:sz w:val="18"/>
      <w:szCs w:val="18"/>
    </w:rPr>
  </w:style>
  <w:style w:type="character" w:styleId="9">
    <w:name w:val="page number"/>
    <w:qFormat/>
    <w:uiPriority w:val="0"/>
  </w:style>
  <w:style w:type="character" w:customStyle="1" w:styleId="10">
    <w:name w:val="批注文字 Char"/>
    <w:link w:val="2"/>
    <w:qFormat/>
    <w:uiPriority w:val="99"/>
    <w:rPr>
      <w:kern w:val="2"/>
      <w:sz w:val="21"/>
      <w:szCs w:val="24"/>
    </w:rPr>
  </w:style>
  <w:style w:type="character" w:customStyle="1" w:styleId="11">
    <w:name w:val="纯文本 Char"/>
    <w:link w:val="3"/>
    <w:qFormat/>
    <w:uiPriority w:val="99"/>
    <w:rPr>
      <w:rFonts w:ascii="宋体" w:hAnsi="Courier New"/>
    </w:rPr>
  </w:style>
  <w:style w:type="character" w:customStyle="1" w:styleId="12">
    <w:name w:val="批注框文本 Char"/>
    <w:link w:val="4"/>
    <w:semiHidden/>
    <w:qFormat/>
    <w:uiPriority w:val="99"/>
    <w:rPr>
      <w:kern w:val="2"/>
      <w:sz w:val="18"/>
      <w:szCs w:val="18"/>
    </w:rPr>
  </w:style>
  <w:style w:type="character" w:customStyle="1" w:styleId="13">
    <w:name w:val="页脚 Char"/>
    <w:link w:val="5"/>
    <w:qFormat/>
    <w:uiPriority w:val="99"/>
    <w:rPr>
      <w:kern w:val="2"/>
      <w:sz w:val="18"/>
      <w:szCs w:val="18"/>
    </w:rPr>
  </w:style>
  <w:style w:type="character" w:customStyle="1" w:styleId="14">
    <w:name w:val="页眉 Char"/>
    <w:link w:val="6"/>
    <w:semiHidden/>
    <w:qFormat/>
    <w:uiPriority w:val="99"/>
    <w:rPr>
      <w:kern w:val="2"/>
      <w:sz w:val="18"/>
      <w:szCs w:val="18"/>
    </w:rPr>
  </w:style>
  <w:style w:type="character" w:customStyle="1" w:styleId="15">
    <w:name w:val="纯文本 字符"/>
    <w:semiHidden/>
    <w:qFormat/>
    <w:uiPriority w:val="99"/>
    <w:rPr>
      <w:rFonts w:ascii="宋体" w:hAnsi="Courier New" w:cs="Courier New"/>
      <w:kern w:val="2"/>
      <w:sz w:val="21"/>
      <w:szCs w:val="21"/>
    </w:rPr>
  </w:style>
  <w:style w:type="paragraph" w:customStyle="1" w:styleId="16">
    <w:name w:val="列出段落1"/>
    <w:basedOn w:val="1"/>
    <w:qFormat/>
    <w:uiPriority w:val="34"/>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Legend (Beijing) Limited</Company>
  <Pages>2</Pages>
  <Words>973</Words>
  <Characters>1412</Characters>
  <Lines>10</Lines>
  <Paragraphs>2</Paragraphs>
  <TotalTime>2</TotalTime>
  <ScaleCrop>false</ScaleCrop>
  <LinksUpToDate>false</LinksUpToDate>
  <CharactersWithSpaces>1457</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2004-08-06T03:45:00Z</dcterms:created>
  <dc:creator>Legend User</dc:creator>
  <cp:lastModifiedBy>1</cp:lastModifiedBy>
  <cp:lastPrinted>2019-12-05T07:53:00Z</cp:lastPrinted>
  <dcterms:modified xsi:type="dcterms:W3CDTF">2026-04-16T07:48:11Z</dcterms:modified>
  <dc:title>××产品质量监督抽查实施细则</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CDE1B85AE2E44E61902687C4DDFA2255_13</vt:lpwstr>
  </property>
  <property fmtid="{D5CDD505-2E9C-101B-9397-08002B2CF9AE}" pid="4" name="KSOTemplateDocerSaveRecord">
    <vt:lpwstr>eyJoZGlkIjoiMzA2ZTE1MDlmNWU1ZmYwNDMxMGRhYjU5ODZhMWJkZGUiLCJ1c2VySWQiOiI0MTgzOTk2MDIifQ==</vt:lpwstr>
  </property>
</Properties>
</file>