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黑体" w:hAnsi="宋体" w:eastAsia="黑体" w:cs="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val="en-US" w:eastAsia="zh-CN"/>
          <w14:textFill>
            <w14:solidFill>
              <w14:schemeClr w14:val="tx1"/>
            </w14:solidFill>
          </w14:textFill>
        </w:rPr>
        <w:t>2026年</w:t>
      </w:r>
      <w:r>
        <w:rPr>
          <w:rFonts w:hint="eastAsia" w:ascii="黑体" w:hAnsi="宋体" w:eastAsia="黑体" w:cs="黑体"/>
          <w:color w:val="000000" w:themeColor="text1"/>
          <w:sz w:val="32"/>
          <w:szCs w:val="32"/>
          <w:lang w:eastAsia="zh-CN"/>
          <w14:textFill>
            <w14:solidFill>
              <w14:schemeClr w14:val="tx1"/>
            </w14:solidFill>
          </w14:textFill>
        </w:rPr>
        <w:t>家用燃气灶</w:t>
      </w:r>
      <w:bookmarkStart w:id="1" w:name="_GoBack"/>
      <w:bookmarkEnd w:id="1"/>
      <w:r>
        <w:rPr>
          <w:rFonts w:hint="eastAsia" w:ascii="黑体" w:hAnsi="宋体" w:eastAsia="黑体" w:cs="黑体"/>
          <w:color w:val="000000" w:themeColor="text1"/>
          <w:sz w:val="32"/>
          <w:szCs w:val="32"/>
          <w:lang w:eastAsia="zh-CN"/>
          <w14:textFill>
            <w14:solidFill>
              <w14:schemeClr w14:val="tx1"/>
            </w14:solidFill>
          </w14:textFill>
        </w:rPr>
        <w:t>产品</w:t>
      </w:r>
      <w:r>
        <w:rPr>
          <w:rFonts w:hint="eastAsia" w:ascii="黑体" w:hAnsi="宋体" w:eastAsia="黑体" w:cs="黑体"/>
          <w:color w:val="000000" w:themeColor="text1"/>
          <w:sz w:val="32"/>
          <w:szCs w:val="32"/>
          <w14:textFill>
            <w14:solidFill>
              <w14:schemeClr w14:val="tx1"/>
            </w14:solidFill>
          </w14:textFill>
        </w:rPr>
        <w:t>质量监督抽查实施细则</w:t>
      </w:r>
    </w:p>
    <w:p>
      <w:pPr>
        <w:spacing w:line="440" w:lineRule="exact"/>
        <w:jc w:val="center"/>
        <w:rPr>
          <w:rFonts w:hint="eastAsia" w:ascii="黑体" w:hAnsi="宋体" w:eastAsia="黑体" w:cs="黑体"/>
          <w:color w:val="000000" w:themeColor="text1"/>
          <w:sz w:val="32"/>
          <w:szCs w:val="32"/>
          <w14:textFill>
            <w14:solidFill>
              <w14:schemeClr w14:val="tx1"/>
            </w14:solidFill>
          </w14:textFill>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1 抽样方法</w:t>
      </w:r>
    </w:p>
    <w:p>
      <w:pPr>
        <w:snapToGrid w:val="0"/>
        <w:spacing w:line="440" w:lineRule="exact"/>
        <w:ind w:firstLine="420" w:firstLineChars="200"/>
        <w:rPr>
          <w:rFonts w:asci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每批次产品抽取样品1台，其中1台作为检验样品</w:t>
      </w:r>
      <w:r>
        <w:rPr>
          <w:rFonts w:hint="eastAsia" w:ascii="宋体" w:hAnsi="宋体"/>
          <w:color w:val="000000"/>
          <w:szCs w:val="21"/>
          <w:lang w:eastAsia="zh-CN"/>
        </w:rPr>
        <w:t>，</w:t>
      </w:r>
      <w:r>
        <w:rPr>
          <w:rFonts w:hint="eastAsia" w:ascii="宋体" w:hAnsi="宋体"/>
          <w:color w:val="000000"/>
          <w:szCs w:val="21"/>
        </w:rPr>
        <w:t>如需复检采用原样复检。</w:t>
      </w:r>
    </w:p>
    <w:p>
      <w:pPr>
        <w:snapToGrid w:val="0"/>
        <w:spacing w:line="440" w:lineRule="exact"/>
        <w:rPr>
          <w:rFonts w:hint="eastAsia" w:ascii="黑体" w:hAnsi="宋体" w:eastAsia="黑体"/>
          <w:b w:val="0"/>
          <w:bCs w:val="0"/>
          <w:color w:val="000000"/>
          <w:szCs w:val="21"/>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2 检验依据</w:t>
      </w:r>
    </w:p>
    <w:p>
      <w:pPr>
        <w:snapToGrid w:val="0"/>
        <w:spacing w:line="440" w:lineRule="exact"/>
        <w:ind w:firstLine="420" w:firstLineChars="200"/>
        <w:jc w:val="center"/>
        <w:rPr>
          <w:rFonts w:hint="eastAsia" w:ascii="宋体" w:hAnsi="宋体"/>
          <w:color w:val="000000"/>
          <w:szCs w:val="21"/>
        </w:rPr>
      </w:pPr>
      <w:r>
        <w:rPr>
          <w:rFonts w:hint="eastAsia" w:ascii="宋体" w:hAnsi="宋体"/>
          <w:color w:val="000000"/>
          <w:szCs w:val="21"/>
        </w:rPr>
        <w:t>表1</w:t>
      </w:r>
      <w:r>
        <w:rPr>
          <w:rFonts w:hint="eastAsia" w:ascii="宋体" w:hAnsi="宋体"/>
          <w:color w:val="000000"/>
          <w:szCs w:val="21"/>
          <w:lang w:val="en-US" w:eastAsia="zh-CN"/>
        </w:rPr>
        <w:t xml:space="preserve"> </w:t>
      </w:r>
      <w:r>
        <w:rPr>
          <w:rFonts w:hint="eastAsia" w:ascii="宋体" w:hAnsi="宋体" w:eastAsia="宋体" w:cs="宋体"/>
        </w:rPr>
        <w:t>检验项目及检验方法</w:t>
      </w:r>
    </w:p>
    <w:tbl>
      <w:tblPr>
        <w:tblStyle w:val="10"/>
        <w:tblW w:w="7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3780"/>
        <w:gridCol w:w="2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4" w:type="dxa"/>
            <w:vAlign w:val="center"/>
          </w:tcPr>
          <w:p>
            <w:pPr>
              <w:widowControl/>
              <w:jc w:val="center"/>
              <w:rPr>
                <w:rFonts w:hint="eastAsia" w:ascii="宋体" w:hAnsi="宋体" w:eastAsia="宋体" w:cs="宋体"/>
                <w:sz w:val="21"/>
                <w:szCs w:val="21"/>
              </w:rPr>
            </w:pPr>
            <w:r>
              <w:rPr>
                <w:rFonts w:hint="eastAsia" w:ascii="宋体" w:hAnsi="宋体" w:cs="宋体"/>
                <w:kern w:val="0"/>
                <w:szCs w:val="21"/>
              </w:rPr>
              <w:t>序号</w:t>
            </w:r>
          </w:p>
        </w:tc>
        <w:tc>
          <w:tcPr>
            <w:tcW w:w="3780" w:type="dxa"/>
            <w:vAlign w:val="center"/>
          </w:tcPr>
          <w:p>
            <w:pPr>
              <w:widowControl/>
              <w:jc w:val="center"/>
              <w:rPr>
                <w:rFonts w:hint="eastAsia" w:ascii="宋体" w:hAnsi="宋体" w:eastAsia="宋体" w:cs="宋体"/>
                <w:sz w:val="21"/>
                <w:szCs w:val="21"/>
              </w:rPr>
            </w:pPr>
            <w:r>
              <w:rPr>
                <w:rFonts w:hint="eastAsia" w:ascii="宋体" w:hAnsi="宋体" w:cs="宋体"/>
                <w:kern w:val="0"/>
                <w:szCs w:val="21"/>
              </w:rPr>
              <w:t>检验项目</w:t>
            </w:r>
          </w:p>
        </w:tc>
        <w:tc>
          <w:tcPr>
            <w:tcW w:w="2697" w:type="dxa"/>
            <w:vAlign w:val="center"/>
          </w:tcPr>
          <w:p>
            <w:pPr>
              <w:widowControl/>
              <w:jc w:val="center"/>
              <w:rPr>
                <w:rFonts w:hint="eastAsia" w:ascii="宋体" w:hAnsi="宋体" w:eastAsia="宋体" w:cs="宋体"/>
                <w:sz w:val="21"/>
                <w:szCs w:val="21"/>
              </w:rPr>
            </w:pPr>
            <w:r>
              <w:rPr>
                <w:rFonts w:hint="eastAsia" w:ascii="宋体" w:hAnsi="宋体" w:cs="宋体"/>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1</w:t>
            </w:r>
          </w:p>
        </w:tc>
        <w:tc>
          <w:tcPr>
            <w:tcW w:w="37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气密性</w:t>
            </w:r>
          </w:p>
        </w:tc>
        <w:tc>
          <w:tcPr>
            <w:tcW w:w="269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2</w:t>
            </w:r>
          </w:p>
        </w:tc>
        <w:tc>
          <w:tcPr>
            <w:tcW w:w="37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热负荷</w:t>
            </w:r>
          </w:p>
        </w:tc>
        <w:tc>
          <w:tcPr>
            <w:tcW w:w="269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3</w:t>
            </w:r>
          </w:p>
        </w:tc>
        <w:tc>
          <w:tcPr>
            <w:tcW w:w="37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离焰</w:t>
            </w:r>
          </w:p>
        </w:tc>
        <w:tc>
          <w:tcPr>
            <w:tcW w:w="269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4</w:t>
            </w:r>
          </w:p>
        </w:tc>
        <w:tc>
          <w:tcPr>
            <w:tcW w:w="3780" w:type="dxa"/>
            <w:vAlign w:val="center"/>
          </w:tcPr>
          <w:p>
            <w:pPr>
              <w:spacing w:line="240" w:lineRule="atLeast"/>
              <w:jc w:val="center"/>
              <w:rPr>
                <w:rFonts w:hint="eastAsia" w:ascii="宋体" w:hAnsi="宋体" w:eastAsia="宋体" w:cs="宋体"/>
                <w:sz w:val="21"/>
                <w:szCs w:val="21"/>
              </w:rPr>
            </w:pPr>
            <w:r>
              <w:rPr>
                <w:rFonts w:hint="eastAsia" w:ascii="宋体" w:hAnsi="宋体" w:eastAsia="宋体" w:cs="宋体"/>
                <w:sz w:val="21"/>
                <w:szCs w:val="21"/>
              </w:rPr>
              <w:t>熄火</w:t>
            </w:r>
          </w:p>
        </w:tc>
        <w:tc>
          <w:tcPr>
            <w:tcW w:w="269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5</w:t>
            </w:r>
          </w:p>
        </w:tc>
        <w:tc>
          <w:tcPr>
            <w:tcW w:w="3780"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回火</w:t>
            </w:r>
          </w:p>
        </w:tc>
        <w:tc>
          <w:tcPr>
            <w:tcW w:w="269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6</w:t>
            </w:r>
          </w:p>
        </w:tc>
        <w:tc>
          <w:tcPr>
            <w:tcW w:w="3780" w:type="dxa"/>
            <w:vAlign w:val="center"/>
          </w:tcPr>
          <w:p>
            <w:pPr>
              <w:spacing w:line="240" w:lineRule="atLeast"/>
              <w:ind w:left="-125" w:right="-108"/>
              <w:jc w:val="center"/>
              <w:rPr>
                <w:rFonts w:hint="eastAsia" w:ascii="宋体" w:hAnsi="宋体" w:eastAsia="宋体" w:cs="宋体"/>
                <w:sz w:val="21"/>
                <w:szCs w:val="21"/>
              </w:rPr>
            </w:pPr>
            <w:r>
              <w:rPr>
                <w:rFonts w:hint="eastAsia" w:ascii="宋体" w:hAnsi="宋体" w:eastAsia="宋体" w:cs="宋体"/>
                <w:sz w:val="21"/>
                <w:szCs w:val="21"/>
              </w:rPr>
              <w:t>干烟气中一氧化碳浓度（α=1，v%）</w:t>
            </w:r>
          </w:p>
        </w:tc>
        <w:tc>
          <w:tcPr>
            <w:tcW w:w="2697" w:type="dxa"/>
            <w:vAlign w:val="center"/>
          </w:tcPr>
          <w:p>
            <w:pPr>
              <w:ind w:left="-125" w:right="-108"/>
              <w:jc w:val="center"/>
              <w:rPr>
                <w:rFonts w:hint="eastAsia" w:ascii="宋体" w:hAnsi="宋体" w:eastAsia="宋体" w:cs="宋体"/>
                <w:sz w:val="21"/>
                <w:szCs w:val="21"/>
              </w:rPr>
            </w:pPr>
            <w:r>
              <w:rPr>
                <w:rFonts w:hint="eastAsia" w:ascii="宋体" w:hAnsi="宋体" w:eastAsia="宋体" w:cs="宋体"/>
                <w:sz w:val="21"/>
                <w:szCs w:val="21"/>
              </w:rPr>
              <w:t>GB 16410-2020</w:t>
            </w:r>
          </w:p>
          <w:p>
            <w:pPr>
              <w:ind w:left="-125" w:leftChars="0" w:right="-108" w:rightChars="0"/>
              <w:jc w:val="center"/>
              <w:rPr>
                <w:rFonts w:hint="eastAsia" w:ascii="宋体" w:hAnsi="宋体" w:eastAsia="宋体" w:cs="宋体"/>
                <w:sz w:val="21"/>
                <w:szCs w:val="21"/>
                <w:lang w:val="en-US" w:eastAsia="zh-CN"/>
              </w:rPr>
            </w:pPr>
            <w:r>
              <w:rPr>
                <w:rFonts w:hint="eastAsia" w:ascii="宋体" w:hAnsi="宋体" w:cs="宋体"/>
                <w:szCs w:val="21"/>
              </w:rPr>
              <w:t>GB/T</w:t>
            </w:r>
            <w:r>
              <w:rPr>
                <w:rFonts w:hint="eastAsia" w:ascii="宋体" w:hAnsi="宋体" w:cs="宋体"/>
                <w:szCs w:val="21"/>
                <w:lang w:val="en-US" w:eastAsia="zh-CN"/>
              </w:rPr>
              <w:t xml:space="preserve"> </w:t>
            </w:r>
            <w:r>
              <w:rPr>
                <w:rFonts w:hint="eastAsia" w:ascii="宋体" w:hAnsi="宋体" w:cs="宋体"/>
                <w:szCs w:val="21"/>
              </w:rPr>
              <w:t>16411-2008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3780" w:type="dxa"/>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rPr>
              <w:t>操作时手必须接触部位温升</w:t>
            </w:r>
          </w:p>
        </w:tc>
        <w:tc>
          <w:tcPr>
            <w:tcW w:w="2697" w:type="dxa"/>
            <w:vAlign w:val="center"/>
          </w:tcPr>
          <w:p>
            <w:pPr>
              <w:ind w:left="-125" w:leftChars="0" w:right="-108" w:rightChars="0"/>
              <w:jc w:val="center"/>
              <w:rPr>
                <w:rFonts w:hint="eastAsia" w:ascii="宋体" w:hAnsi="宋体" w:cs="宋体"/>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3780"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热效率</w:t>
            </w:r>
          </w:p>
        </w:tc>
        <w:tc>
          <w:tcPr>
            <w:tcW w:w="269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3780"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熄火保护装置</w:t>
            </w:r>
          </w:p>
        </w:tc>
        <w:tc>
          <w:tcPr>
            <w:tcW w:w="2697" w:type="dxa"/>
            <w:vAlign w:val="center"/>
          </w:tcPr>
          <w:p>
            <w:pPr>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cs="宋体"/>
                <w:sz w:val="21"/>
                <w:szCs w:val="21"/>
                <w:lang w:val="en-US" w:eastAsia="zh-CN"/>
              </w:rPr>
              <w:t>0</w:t>
            </w:r>
          </w:p>
        </w:tc>
        <w:tc>
          <w:tcPr>
            <w:tcW w:w="3780" w:type="dxa"/>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燃气导管</w:t>
            </w:r>
          </w:p>
        </w:tc>
        <w:tc>
          <w:tcPr>
            <w:tcW w:w="2697" w:type="dxa"/>
            <w:vAlign w:val="center"/>
          </w:tcPr>
          <w:p>
            <w:pPr>
              <w:ind w:left="-125" w:leftChars="0" w:right="-108" w:rightChars="0"/>
              <w:jc w:val="center"/>
              <w:rPr>
                <w:rFonts w:hint="eastAsia" w:ascii="宋体" w:hAnsi="宋体" w:eastAsia="宋体" w:cs="宋体"/>
                <w:sz w:val="21"/>
                <w:szCs w:val="21"/>
              </w:rPr>
            </w:pPr>
            <w:r>
              <w:rPr>
                <w:rFonts w:hint="eastAsia" w:ascii="宋体" w:hAnsi="宋体" w:eastAsia="宋体" w:cs="宋体"/>
                <w:sz w:val="21"/>
                <w:szCs w:val="21"/>
              </w:rPr>
              <w:t>GB 16410-2020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194" w:type="dxa"/>
            <w:vAlign w:val="center"/>
          </w:tcPr>
          <w:p>
            <w:pPr>
              <w:ind w:left="-125" w:right="-108"/>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3780" w:type="dxa"/>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铭牌</w:t>
            </w:r>
          </w:p>
        </w:tc>
        <w:tc>
          <w:tcPr>
            <w:tcW w:w="2697" w:type="dxa"/>
            <w:vAlign w:val="center"/>
          </w:tcPr>
          <w:p>
            <w:pPr>
              <w:ind w:left="-125" w:leftChars="0" w:right="-108" w:rightChars="0"/>
              <w:jc w:val="center"/>
              <w:rPr>
                <w:rFonts w:hint="eastAsia" w:ascii="宋体" w:hAnsi="宋体" w:eastAsia="宋体" w:cs="宋体"/>
                <w:sz w:val="21"/>
                <w:szCs w:val="21"/>
              </w:rPr>
            </w:pPr>
            <w:r>
              <w:rPr>
                <w:rFonts w:hint="eastAsia" w:ascii="宋体" w:hAnsi="宋体" w:eastAsia="宋体" w:cs="宋体"/>
                <w:sz w:val="21"/>
                <w:szCs w:val="21"/>
              </w:rPr>
              <w:t>GB 16410-2020</w:t>
            </w:r>
          </w:p>
        </w:tc>
      </w:tr>
    </w:tbl>
    <w:p>
      <w:pPr>
        <w:adjustRightInd w:val="0"/>
        <w:snapToGrid w:val="0"/>
        <w:spacing w:line="440" w:lineRule="exact"/>
        <w:ind w:firstLine="420" w:firstLineChars="200"/>
        <w:rPr>
          <w:color w:val="000000"/>
          <w:szCs w:val="21"/>
        </w:rPr>
      </w:pPr>
      <w:bookmarkStart w:id="0" w:name="_Hlk40347690"/>
      <w:r>
        <w:rPr>
          <w:rFonts w:hint="eastAsia"/>
          <w:color w:val="000000"/>
          <w:szCs w:val="21"/>
        </w:rPr>
        <w:t>执行企业标准、团体标准、地方标准的产品，检验项目参照上述内容执行。</w:t>
      </w:r>
    </w:p>
    <w:bookmarkEnd w:id="0"/>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eastAsia" w:ascii="黑体" w:hAnsi="宋体" w:eastAsia="黑体"/>
          <w:b w:val="0"/>
          <w:bCs w:val="0"/>
          <w:color w:val="000000"/>
          <w:szCs w:val="21"/>
        </w:rPr>
      </w:pPr>
    </w:p>
    <w:p>
      <w:pPr>
        <w:snapToGrid w:val="0"/>
        <w:spacing w:line="440" w:lineRule="exact"/>
        <w:rPr>
          <w:rFonts w:hint="eastAsia" w:ascii="黑体" w:hAnsi="宋体" w:eastAsia="黑体"/>
          <w:b w:val="0"/>
          <w:bCs w:val="0"/>
          <w:color w:val="000000"/>
          <w:szCs w:val="21"/>
        </w:rPr>
      </w:pPr>
      <w:r>
        <w:rPr>
          <w:rFonts w:hint="eastAsia" w:ascii="黑体" w:hAnsi="宋体" w:eastAsia="黑体"/>
          <w:b w:val="0"/>
          <w:bCs w:val="0"/>
          <w:color w:val="000000"/>
          <w:szCs w:val="21"/>
        </w:rPr>
        <w:t>3 判定规则</w:t>
      </w:r>
    </w:p>
    <w:p>
      <w:pPr>
        <w:adjustRightInd w:val="0"/>
        <w:snapToGrid w:val="0"/>
        <w:spacing w:line="440" w:lineRule="exact"/>
        <w:rPr>
          <w:rFonts w:hint="eastAsia" w:ascii="宋体" w:hAnsi="宋体" w:eastAsia="宋体" w:cs="宋体"/>
          <w:color w:val="000000"/>
        </w:rPr>
      </w:pPr>
      <w:r>
        <w:rPr>
          <w:rFonts w:hint="eastAsia" w:ascii="宋体" w:hAnsi="宋体" w:eastAsia="宋体" w:cs="宋体"/>
          <w:color w:val="000000"/>
        </w:rPr>
        <w:t>3.1依据标准</w:t>
      </w:r>
    </w:p>
    <w:p>
      <w:pPr>
        <w:snapToGrid w:val="0"/>
        <w:spacing w:line="440" w:lineRule="exact"/>
        <w:ind w:firstLine="420" w:firstLineChars="200"/>
        <w:rPr>
          <w:rFonts w:hint="eastAsia" w:ascii="宋体" w:hAnsi="宋体"/>
        </w:rPr>
      </w:pPr>
      <w:r>
        <w:rPr>
          <w:rFonts w:hint="eastAsia" w:ascii="宋体" w:hAnsi="宋体"/>
        </w:rPr>
        <w:t>GB 16410-2020   家用燃气灶具</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3.2  判定原则</w:t>
      </w:r>
    </w:p>
    <w:p>
      <w:pPr>
        <w:adjustRightInd w:val="0"/>
        <w:snapToGrid w:val="0"/>
        <w:spacing w:line="440" w:lineRule="exact"/>
        <w:ind w:firstLine="420" w:firstLineChars="200"/>
        <w:rPr>
          <w:rFonts w:hint="eastAsia"/>
          <w:color w:val="000000"/>
          <w:highlight w:val="none"/>
        </w:rPr>
      </w:pPr>
      <w:r>
        <w:rPr>
          <w:rFonts w:hint="eastAsia"/>
          <w:color w:val="000000"/>
          <w:highlight w:val="none"/>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若被检产品明示的质量要求高于本细则中检验项目依据的标准要求时，应按被检产品明示的质量要求判定。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若被检产品明示的质量要求低于本细则中检验项目依据的强制性标准要求时，应按照强制性标准要求判定。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hint="eastAsia" w:ascii="宋体" w:hAnsi="宋体"/>
          <w:b/>
          <w:lang w:val="en-US" w:eastAsia="zh-CN"/>
        </w:rPr>
      </w:pPr>
      <w:r>
        <w:rPr>
          <w:rFonts w:hint="eastAsia"/>
          <w:color w:val="000000"/>
          <w:highlight w:val="none"/>
        </w:rPr>
        <w:t>若被检产品明示的质量要求缺少本细则中检验项目依据的推荐性标准要求时，该项目不参与判定。</w:t>
      </w:r>
    </w:p>
    <w:p>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4  附则</w:t>
      </w:r>
    </w:p>
    <w:p>
      <w:pPr>
        <w:spacing w:line="400" w:lineRule="exact"/>
        <w:ind w:firstLine="420" w:firstLineChars="200"/>
        <w:rPr>
          <w:rFonts w:ascii="宋体" w:hAnsi="宋体"/>
          <w:highlight w:val="none"/>
        </w:rPr>
      </w:pPr>
      <w:r>
        <w:rPr>
          <w:rFonts w:hint="eastAsia" w:ascii="宋体" w:hAnsi="宋体"/>
          <w:highlight w:val="none"/>
        </w:rPr>
        <w:t>本细则由</w:t>
      </w:r>
      <w:r>
        <w:rPr>
          <w:rFonts w:hint="eastAsia" w:ascii="宋体" w:hAnsi="宋体"/>
          <w:highlight w:val="none"/>
          <w:lang w:eastAsia="zh-CN"/>
        </w:rPr>
        <w:t>安徽省</w:t>
      </w:r>
      <w:r>
        <w:rPr>
          <w:rFonts w:hint="eastAsia" w:ascii="宋体" w:hAnsi="宋体"/>
          <w:highlight w:val="none"/>
        </w:rPr>
        <w:t>产品质量监督检验研究院编制，</w:t>
      </w:r>
      <w:r>
        <w:rPr>
          <w:rFonts w:hint="eastAsia" w:ascii="宋体" w:hAnsi="宋体"/>
          <w:highlight w:val="none"/>
          <w:lang w:val="en-US" w:eastAsia="zh-CN"/>
        </w:rPr>
        <w:t>六安</w:t>
      </w:r>
      <w:r>
        <w:rPr>
          <w:rFonts w:hint="eastAsia" w:ascii="宋体" w:hAnsi="宋体"/>
          <w:highlight w:val="none"/>
          <w:lang w:eastAsia="zh-CN"/>
        </w:rPr>
        <w:t>市</w:t>
      </w:r>
      <w:r>
        <w:rPr>
          <w:rFonts w:hint="eastAsia" w:ascii="宋体" w:hAnsi="宋体"/>
          <w:highlight w:val="none"/>
        </w:rPr>
        <w:t>市场监督管理局管理。</w:t>
      </w:r>
    </w:p>
    <w:p>
      <w:pPr>
        <w:adjustRightInd w:val="0"/>
        <w:snapToGrid w:val="0"/>
        <w:spacing w:line="440" w:lineRule="exact"/>
        <w:ind w:firstLine="417" w:firstLineChars="199"/>
        <w:rPr>
          <w:rFonts w:hint="eastAsia" w:ascii="宋体" w:hAnsi="宋体" w:eastAsia="宋体" w:cs="宋体"/>
          <w:color w:val="000000"/>
        </w:rPr>
      </w:pPr>
    </w:p>
    <w:sectPr>
      <w:footerReference r:id="rId3" w:type="default"/>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mMzIwYjQzY2U3NzM3MmIxMmNhMDczMGE1MTY0MDQifQ=="/>
  </w:docVars>
  <w:rsids>
    <w:rsidRoot w:val="00172A27"/>
    <w:rsid w:val="00005A20"/>
    <w:rsid w:val="00034B28"/>
    <w:rsid w:val="000351D9"/>
    <w:rsid w:val="00036397"/>
    <w:rsid w:val="00040155"/>
    <w:rsid w:val="0004751E"/>
    <w:rsid w:val="00063255"/>
    <w:rsid w:val="00086A23"/>
    <w:rsid w:val="000A1A2F"/>
    <w:rsid w:val="00102157"/>
    <w:rsid w:val="00104380"/>
    <w:rsid w:val="001140D2"/>
    <w:rsid w:val="00124675"/>
    <w:rsid w:val="0014700C"/>
    <w:rsid w:val="00166795"/>
    <w:rsid w:val="00172A27"/>
    <w:rsid w:val="001A26F3"/>
    <w:rsid w:val="00217AF4"/>
    <w:rsid w:val="002449DB"/>
    <w:rsid w:val="00267592"/>
    <w:rsid w:val="002904F5"/>
    <w:rsid w:val="002A75DE"/>
    <w:rsid w:val="002B7064"/>
    <w:rsid w:val="002C2F25"/>
    <w:rsid w:val="00303465"/>
    <w:rsid w:val="003042F4"/>
    <w:rsid w:val="003117B3"/>
    <w:rsid w:val="003122F5"/>
    <w:rsid w:val="0031572F"/>
    <w:rsid w:val="00324255"/>
    <w:rsid w:val="00350941"/>
    <w:rsid w:val="00353A78"/>
    <w:rsid w:val="00364676"/>
    <w:rsid w:val="00391605"/>
    <w:rsid w:val="003C2376"/>
    <w:rsid w:val="003C65F2"/>
    <w:rsid w:val="003F7C05"/>
    <w:rsid w:val="0041062C"/>
    <w:rsid w:val="00417AC8"/>
    <w:rsid w:val="00420831"/>
    <w:rsid w:val="0042209F"/>
    <w:rsid w:val="00431E3E"/>
    <w:rsid w:val="004560A2"/>
    <w:rsid w:val="004678B5"/>
    <w:rsid w:val="004743C7"/>
    <w:rsid w:val="004A2E96"/>
    <w:rsid w:val="004B5F3C"/>
    <w:rsid w:val="004B7702"/>
    <w:rsid w:val="004C4065"/>
    <w:rsid w:val="004E6040"/>
    <w:rsid w:val="00520CB1"/>
    <w:rsid w:val="00522C50"/>
    <w:rsid w:val="00530C8F"/>
    <w:rsid w:val="005512AF"/>
    <w:rsid w:val="00584453"/>
    <w:rsid w:val="005C719E"/>
    <w:rsid w:val="00600AD2"/>
    <w:rsid w:val="00645B6E"/>
    <w:rsid w:val="00652B07"/>
    <w:rsid w:val="00661968"/>
    <w:rsid w:val="006822A8"/>
    <w:rsid w:val="00684B99"/>
    <w:rsid w:val="006D6300"/>
    <w:rsid w:val="00700901"/>
    <w:rsid w:val="00706509"/>
    <w:rsid w:val="007226CF"/>
    <w:rsid w:val="00724B03"/>
    <w:rsid w:val="0075724F"/>
    <w:rsid w:val="007808DD"/>
    <w:rsid w:val="0078145F"/>
    <w:rsid w:val="007852CC"/>
    <w:rsid w:val="007875B4"/>
    <w:rsid w:val="0079491D"/>
    <w:rsid w:val="007D10EF"/>
    <w:rsid w:val="007D1197"/>
    <w:rsid w:val="007D464E"/>
    <w:rsid w:val="007E193B"/>
    <w:rsid w:val="007E7ACB"/>
    <w:rsid w:val="00802ED9"/>
    <w:rsid w:val="00805A0E"/>
    <w:rsid w:val="00807CF8"/>
    <w:rsid w:val="00817C18"/>
    <w:rsid w:val="00821923"/>
    <w:rsid w:val="00835152"/>
    <w:rsid w:val="00837F0E"/>
    <w:rsid w:val="00855755"/>
    <w:rsid w:val="008576BF"/>
    <w:rsid w:val="008B08F7"/>
    <w:rsid w:val="008C589D"/>
    <w:rsid w:val="008D1F5A"/>
    <w:rsid w:val="008E2383"/>
    <w:rsid w:val="008F0B4B"/>
    <w:rsid w:val="00903ABE"/>
    <w:rsid w:val="009147F5"/>
    <w:rsid w:val="00941062"/>
    <w:rsid w:val="009476BB"/>
    <w:rsid w:val="00950F16"/>
    <w:rsid w:val="00954A70"/>
    <w:rsid w:val="00961B11"/>
    <w:rsid w:val="00962DDF"/>
    <w:rsid w:val="009952DA"/>
    <w:rsid w:val="009A5DDE"/>
    <w:rsid w:val="009B1664"/>
    <w:rsid w:val="009C4288"/>
    <w:rsid w:val="009D7D78"/>
    <w:rsid w:val="009E45F1"/>
    <w:rsid w:val="00A016B1"/>
    <w:rsid w:val="00A1281F"/>
    <w:rsid w:val="00A4206C"/>
    <w:rsid w:val="00A4416C"/>
    <w:rsid w:val="00A50F55"/>
    <w:rsid w:val="00A92BA7"/>
    <w:rsid w:val="00AD301E"/>
    <w:rsid w:val="00AF0342"/>
    <w:rsid w:val="00AF1BB4"/>
    <w:rsid w:val="00AF5C07"/>
    <w:rsid w:val="00AF6D63"/>
    <w:rsid w:val="00B05067"/>
    <w:rsid w:val="00B46293"/>
    <w:rsid w:val="00B7576B"/>
    <w:rsid w:val="00B93D5F"/>
    <w:rsid w:val="00B94024"/>
    <w:rsid w:val="00B95D86"/>
    <w:rsid w:val="00B97899"/>
    <w:rsid w:val="00BD50B9"/>
    <w:rsid w:val="00BE6444"/>
    <w:rsid w:val="00CB67B8"/>
    <w:rsid w:val="00CD3BA2"/>
    <w:rsid w:val="00CF0F78"/>
    <w:rsid w:val="00D26000"/>
    <w:rsid w:val="00D40532"/>
    <w:rsid w:val="00D57517"/>
    <w:rsid w:val="00D634BD"/>
    <w:rsid w:val="00D63AC5"/>
    <w:rsid w:val="00D92628"/>
    <w:rsid w:val="00DF6362"/>
    <w:rsid w:val="00E0102D"/>
    <w:rsid w:val="00E01962"/>
    <w:rsid w:val="00E16EE7"/>
    <w:rsid w:val="00E40971"/>
    <w:rsid w:val="00E55F76"/>
    <w:rsid w:val="00E6068B"/>
    <w:rsid w:val="00E8287C"/>
    <w:rsid w:val="00E9268C"/>
    <w:rsid w:val="00E95EA4"/>
    <w:rsid w:val="00EC5BDF"/>
    <w:rsid w:val="00ED7FE2"/>
    <w:rsid w:val="00F315CC"/>
    <w:rsid w:val="00FB21B8"/>
    <w:rsid w:val="01D67C51"/>
    <w:rsid w:val="031943E4"/>
    <w:rsid w:val="033A014E"/>
    <w:rsid w:val="07672914"/>
    <w:rsid w:val="07F22019"/>
    <w:rsid w:val="097537AA"/>
    <w:rsid w:val="12495675"/>
    <w:rsid w:val="13045B35"/>
    <w:rsid w:val="131C34F8"/>
    <w:rsid w:val="157A1825"/>
    <w:rsid w:val="16E21CB9"/>
    <w:rsid w:val="18C14E5E"/>
    <w:rsid w:val="1B103D73"/>
    <w:rsid w:val="1B41616E"/>
    <w:rsid w:val="1B6415FF"/>
    <w:rsid w:val="1CDC37CE"/>
    <w:rsid w:val="1D5239E6"/>
    <w:rsid w:val="1ED66FCF"/>
    <w:rsid w:val="227D27EE"/>
    <w:rsid w:val="23C66840"/>
    <w:rsid w:val="24E848A1"/>
    <w:rsid w:val="253E3FF2"/>
    <w:rsid w:val="258B2406"/>
    <w:rsid w:val="25AD4C1F"/>
    <w:rsid w:val="28AF7A77"/>
    <w:rsid w:val="29395066"/>
    <w:rsid w:val="296D062A"/>
    <w:rsid w:val="2A560303"/>
    <w:rsid w:val="2AB40F4F"/>
    <w:rsid w:val="2B4C06CC"/>
    <w:rsid w:val="2B711D54"/>
    <w:rsid w:val="2C89367C"/>
    <w:rsid w:val="2CEE4744"/>
    <w:rsid w:val="2D79212A"/>
    <w:rsid w:val="2E851362"/>
    <w:rsid w:val="2F20375F"/>
    <w:rsid w:val="2F497C57"/>
    <w:rsid w:val="30DF68CE"/>
    <w:rsid w:val="33AB24A9"/>
    <w:rsid w:val="35B06902"/>
    <w:rsid w:val="35B075D2"/>
    <w:rsid w:val="3667278C"/>
    <w:rsid w:val="3762738D"/>
    <w:rsid w:val="379F351A"/>
    <w:rsid w:val="398423C7"/>
    <w:rsid w:val="3BA33ACC"/>
    <w:rsid w:val="3BC506E1"/>
    <w:rsid w:val="3C8B41F8"/>
    <w:rsid w:val="3E8423B0"/>
    <w:rsid w:val="3F5073A0"/>
    <w:rsid w:val="3FAC7EA4"/>
    <w:rsid w:val="3FB83E19"/>
    <w:rsid w:val="40F40103"/>
    <w:rsid w:val="41101E4C"/>
    <w:rsid w:val="44D42503"/>
    <w:rsid w:val="458A7AA7"/>
    <w:rsid w:val="45BB3CEC"/>
    <w:rsid w:val="461A6091"/>
    <w:rsid w:val="46E72080"/>
    <w:rsid w:val="475472AD"/>
    <w:rsid w:val="48B4421B"/>
    <w:rsid w:val="49401165"/>
    <w:rsid w:val="49544FDD"/>
    <w:rsid w:val="4E745E9B"/>
    <w:rsid w:val="509F1015"/>
    <w:rsid w:val="522B5DD4"/>
    <w:rsid w:val="55226E73"/>
    <w:rsid w:val="56A603BA"/>
    <w:rsid w:val="575E26DE"/>
    <w:rsid w:val="57FA2AB3"/>
    <w:rsid w:val="58625F74"/>
    <w:rsid w:val="5872092A"/>
    <w:rsid w:val="5B9428B5"/>
    <w:rsid w:val="5CBC1ADB"/>
    <w:rsid w:val="5EF9755F"/>
    <w:rsid w:val="61BD3765"/>
    <w:rsid w:val="622A33CC"/>
    <w:rsid w:val="627F1B8D"/>
    <w:rsid w:val="65C57E4D"/>
    <w:rsid w:val="668918E4"/>
    <w:rsid w:val="69BA397D"/>
    <w:rsid w:val="6A3D00DC"/>
    <w:rsid w:val="6A8A174C"/>
    <w:rsid w:val="6BCC1AEC"/>
    <w:rsid w:val="6CE3305F"/>
    <w:rsid w:val="6D9745DB"/>
    <w:rsid w:val="722C2936"/>
    <w:rsid w:val="75145A76"/>
    <w:rsid w:val="75B310A7"/>
    <w:rsid w:val="76D23F5B"/>
    <w:rsid w:val="78DD07BE"/>
    <w:rsid w:val="78EF17CC"/>
    <w:rsid w:val="7B537873"/>
    <w:rsid w:val="7D1C6876"/>
    <w:rsid w:val="7F310E5E"/>
    <w:rsid w:val="7F921A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6"/>
    <w:qFormat/>
    <w:uiPriority w:val="99"/>
    <w:pPr>
      <w:jc w:val="left"/>
      <w:outlineLvl w:val="0"/>
    </w:pPr>
    <w:rPr>
      <w:rFonts w:ascii="宋体" w:hAnsi="宋体" w:cs="宋体"/>
      <w:b/>
      <w:bCs/>
      <w:color w:val="333333"/>
      <w:kern w:val="44"/>
      <w:sz w:val="30"/>
      <w:szCs w:val="30"/>
    </w:rPr>
  </w:style>
  <w:style w:type="paragraph" w:styleId="3">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1"/>
    <w:semiHidden/>
    <w:qFormat/>
    <w:uiPriority w:val="99"/>
    <w:pPr>
      <w:jc w:val="left"/>
    </w:pPr>
  </w:style>
  <w:style w:type="paragraph" w:styleId="5">
    <w:name w:val="Body Text"/>
    <w:basedOn w:val="1"/>
    <w:qFormat/>
    <w:uiPriority w:val="0"/>
    <w:pPr>
      <w:snapToGrid w:val="0"/>
      <w:spacing w:line="440" w:lineRule="exact"/>
    </w:pPr>
    <w:rPr>
      <w:rFonts w:ascii="宋体" w:hAnsi="宋体"/>
      <w:color w:val="FF0000"/>
      <w:sz w:val="18"/>
    </w:rPr>
  </w:style>
  <w:style w:type="paragraph" w:styleId="6">
    <w:name w:val="Balloon Text"/>
    <w:basedOn w:val="1"/>
    <w:link w:val="49"/>
    <w:semiHidden/>
    <w:qFormat/>
    <w:uiPriority w:val="99"/>
    <w:rPr>
      <w:sz w:val="18"/>
      <w:szCs w:val="18"/>
    </w:rPr>
  </w:style>
  <w:style w:type="paragraph" w:styleId="7">
    <w:name w:val="footer"/>
    <w:basedOn w:val="1"/>
    <w:link w:val="53"/>
    <w:qFormat/>
    <w:uiPriority w:val="99"/>
    <w:pPr>
      <w:tabs>
        <w:tab w:val="center" w:pos="4153"/>
        <w:tab w:val="right" w:pos="8306"/>
      </w:tabs>
      <w:snapToGrid w:val="0"/>
      <w:jc w:val="left"/>
    </w:pPr>
    <w:rPr>
      <w:sz w:val="18"/>
      <w:szCs w:val="18"/>
    </w:rPr>
  </w:style>
  <w:style w:type="paragraph" w:styleId="8">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52"/>
    <w:semiHidden/>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99"/>
    <w:rPr>
      <w:b/>
      <w:bCs/>
    </w:rPr>
  </w:style>
  <w:style w:type="character" w:styleId="14">
    <w:name w:val="page number"/>
    <w:basedOn w:val="12"/>
    <w:qFormat/>
    <w:uiPriority w:val="99"/>
  </w:style>
  <w:style w:type="character" w:styleId="15">
    <w:name w:val="FollowedHyperlink"/>
    <w:basedOn w:val="12"/>
    <w:qFormat/>
    <w:uiPriority w:val="99"/>
    <w:rPr>
      <w:color w:val="auto"/>
      <w:u w:val="none"/>
    </w:rPr>
  </w:style>
  <w:style w:type="character" w:styleId="16">
    <w:name w:val="Emphasis"/>
    <w:basedOn w:val="12"/>
    <w:qFormat/>
    <w:uiPriority w:val="99"/>
    <w:rPr>
      <w:i/>
      <w:iCs/>
    </w:rPr>
  </w:style>
  <w:style w:type="character" w:styleId="17">
    <w:name w:val="HTML Definition"/>
    <w:basedOn w:val="12"/>
    <w:qFormat/>
    <w:uiPriority w:val="99"/>
  </w:style>
  <w:style w:type="character" w:styleId="18">
    <w:name w:val="HTML Acronym"/>
    <w:basedOn w:val="12"/>
    <w:qFormat/>
    <w:uiPriority w:val="99"/>
  </w:style>
  <w:style w:type="character" w:styleId="19">
    <w:name w:val="HTML Variable"/>
    <w:basedOn w:val="12"/>
    <w:qFormat/>
    <w:uiPriority w:val="99"/>
  </w:style>
  <w:style w:type="character" w:styleId="20">
    <w:name w:val="Hyperlink"/>
    <w:basedOn w:val="12"/>
    <w:qFormat/>
    <w:uiPriority w:val="99"/>
    <w:rPr>
      <w:color w:val="auto"/>
      <w:u w:val="none"/>
    </w:rPr>
  </w:style>
  <w:style w:type="character" w:styleId="21">
    <w:name w:val="HTML Code"/>
    <w:basedOn w:val="12"/>
    <w:qFormat/>
    <w:uiPriority w:val="99"/>
    <w:rPr>
      <w:rFonts w:ascii="monospace" w:hAnsi="monospace" w:eastAsia="Times New Roman" w:cs="monospace"/>
      <w:sz w:val="24"/>
      <w:szCs w:val="24"/>
    </w:rPr>
  </w:style>
  <w:style w:type="character" w:styleId="22">
    <w:name w:val="annotation reference"/>
    <w:basedOn w:val="12"/>
    <w:semiHidden/>
    <w:qFormat/>
    <w:uiPriority w:val="99"/>
    <w:rPr>
      <w:sz w:val="21"/>
      <w:szCs w:val="21"/>
    </w:rPr>
  </w:style>
  <w:style w:type="character" w:styleId="23">
    <w:name w:val="HTML Cite"/>
    <w:basedOn w:val="12"/>
    <w:qFormat/>
    <w:uiPriority w:val="99"/>
  </w:style>
  <w:style w:type="character" w:styleId="24">
    <w:name w:val="HTML Keyboard"/>
    <w:basedOn w:val="12"/>
    <w:qFormat/>
    <w:uiPriority w:val="99"/>
    <w:rPr>
      <w:rFonts w:ascii="monospace" w:hAnsi="monospace" w:eastAsia="Times New Roman" w:cs="monospace"/>
      <w:sz w:val="24"/>
      <w:szCs w:val="24"/>
    </w:rPr>
  </w:style>
  <w:style w:type="character" w:styleId="25">
    <w:name w:val="HTML Sample"/>
    <w:basedOn w:val="12"/>
    <w:qFormat/>
    <w:uiPriority w:val="99"/>
    <w:rPr>
      <w:rFonts w:ascii="monospace" w:hAnsi="monospace" w:eastAsia="Times New Roman" w:cs="monospace"/>
      <w:sz w:val="24"/>
      <w:szCs w:val="24"/>
    </w:rPr>
  </w:style>
  <w:style w:type="character" w:customStyle="1" w:styleId="26">
    <w:name w:val="标题 1 Char"/>
    <w:basedOn w:val="12"/>
    <w:link w:val="2"/>
    <w:qFormat/>
    <w:uiPriority w:val="9"/>
    <w:rPr>
      <w:b/>
      <w:bCs/>
      <w:kern w:val="44"/>
      <w:sz w:val="44"/>
      <w:szCs w:val="44"/>
    </w:rPr>
  </w:style>
  <w:style w:type="character" w:customStyle="1" w:styleId="27">
    <w:name w:val="bds_more1"/>
    <w:basedOn w:val="12"/>
    <w:qFormat/>
    <w:uiPriority w:val="99"/>
  </w:style>
  <w:style w:type="character" w:customStyle="1" w:styleId="28">
    <w:name w:val="org_name2"/>
    <w:basedOn w:val="12"/>
    <w:qFormat/>
    <w:uiPriority w:val="99"/>
  </w:style>
  <w:style w:type="character" w:customStyle="1" w:styleId="29">
    <w:name w:val="no5"/>
    <w:basedOn w:val="12"/>
    <w:qFormat/>
    <w:uiPriority w:val="99"/>
  </w:style>
  <w:style w:type="character" w:customStyle="1" w:styleId="30">
    <w:name w:val="Comment Text Char"/>
    <w:basedOn w:val="12"/>
    <w:qFormat/>
    <w:locked/>
    <w:uiPriority w:val="99"/>
    <w:rPr>
      <w:kern w:val="2"/>
      <w:sz w:val="24"/>
      <w:szCs w:val="24"/>
    </w:rPr>
  </w:style>
  <w:style w:type="character" w:customStyle="1" w:styleId="31">
    <w:name w:val="bds_nopic"/>
    <w:basedOn w:val="12"/>
    <w:qFormat/>
    <w:uiPriority w:val="99"/>
  </w:style>
  <w:style w:type="character" w:customStyle="1" w:styleId="32">
    <w:name w:val="bds_more"/>
    <w:basedOn w:val="12"/>
    <w:qFormat/>
    <w:uiPriority w:val="99"/>
  </w:style>
  <w:style w:type="character" w:customStyle="1" w:styleId="33">
    <w:name w:val="ui-bz-bg-hover"/>
    <w:basedOn w:val="12"/>
    <w:qFormat/>
    <w:uiPriority w:val="99"/>
    <w:rPr>
      <w:shd w:val="clear" w:color="auto" w:fill="000000"/>
    </w:rPr>
  </w:style>
  <w:style w:type="character" w:customStyle="1" w:styleId="34">
    <w:name w:val="f-star"/>
    <w:basedOn w:val="12"/>
    <w:qFormat/>
    <w:uiPriority w:val="99"/>
    <w:rPr>
      <w:color w:val="auto"/>
      <w:sz w:val="21"/>
      <w:szCs w:val="21"/>
    </w:rPr>
  </w:style>
  <w:style w:type="character" w:customStyle="1" w:styleId="35">
    <w:name w:val="ui-bz-bg-hover1"/>
    <w:basedOn w:val="12"/>
    <w:qFormat/>
    <w:uiPriority w:val="99"/>
  </w:style>
  <w:style w:type="character" w:customStyle="1" w:styleId="36">
    <w:name w:val="my-class2"/>
    <w:basedOn w:val="12"/>
    <w:qFormat/>
    <w:uiPriority w:val="99"/>
  </w:style>
  <w:style w:type="character" w:customStyle="1" w:styleId="37">
    <w:name w:val="orange"/>
    <w:basedOn w:val="12"/>
    <w:qFormat/>
    <w:uiPriority w:val="99"/>
    <w:rPr>
      <w:color w:val="auto"/>
    </w:rPr>
  </w:style>
  <w:style w:type="character" w:customStyle="1" w:styleId="38">
    <w:name w:val="no42"/>
    <w:basedOn w:val="12"/>
    <w:qFormat/>
    <w:uiPriority w:val="99"/>
  </w:style>
  <w:style w:type="character" w:customStyle="1" w:styleId="39">
    <w:name w:val="bds_nopic2"/>
    <w:basedOn w:val="12"/>
    <w:qFormat/>
    <w:uiPriority w:val="99"/>
  </w:style>
  <w:style w:type="character" w:customStyle="1" w:styleId="40">
    <w:name w:val="no72"/>
    <w:basedOn w:val="12"/>
    <w:qFormat/>
    <w:uiPriority w:val="99"/>
  </w:style>
  <w:style w:type="character" w:customStyle="1" w:styleId="41">
    <w:name w:val="tip"/>
    <w:basedOn w:val="12"/>
    <w:qFormat/>
    <w:uiPriority w:val="99"/>
    <w:rPr>
      <w:vanish/>
      <w:color w:val="FF0000"/>
      <w:sz w:val="18"/>
      <w:szCs w:val="18"/>
    </w:rPr>
  </w:style>
  <w:style w:type="character" w:customStyle="1" w:styleId="42">
    <w:name w:val="bds_nopic1"/>
    <w:basedOn w:val="12"/>
    <w:qFormat/>
    <w:uiPriority w:val="99"/>
  </w:style>
  <w:style w:type="character" w:customStyle="1" w:styleId="43">
    <w:name w:val="no62"/>
    <w:basedOn w:val="12"/>
    <w:qFormat/>
    <w:uiPriority w:val="99"/>
  </w:style>
  <w:style w:type="character" w:customStyle="1" w:styleId="44">
    <w:name w:val="my-notice1"/>
    <w:basedOn w:val="12"/>
    <w:qFormat/>
    <w:uiPriority w:val="99"/>
  </w:style>
  <w:style w:type="character" w:customStyle="1" w:styleId="45">
    <w:name w:val="Comment Subject Char"/>
    <w:basedOn w:val="30"/>
    <w:qFormat/>
    <w:locked/>
    <w:uiPriority w:val="99"/>
    <w:rPr>
      <w:b/>
      <w:bCs/>
      <w:kern w:val="2"/>
      <w:sz w:val="24"/>
      <w:szCs w:val="24"/>
    </w:rPr>
  </w:style>
  <w:style w:type="character" w:customStyle="1" w:styleId="46">
    <w:name w:val="top-icon"/>
    <w:basedOn w:val="12"/>
    <w:qFormat/>
    <w:uiPriority w:val="99"/>
  </w:style>
  <w:style w:type="character" w:customStyle="1" w:styleId="47">
    <w:name w:val="t-tag"/>
    <w:basedOn w:val="12"/>
    <w:qFormat/>
    <w:uiPriority w:val="99"/>
    <w:rPr>
      <w:color w:val="FFFFFF"/>
      <w:sz w:val="18"/>
      <w:szCs w:val="18"/>
      <w:shd w:val="clear" w:color="auto" w:fill="auto"/>
    </w:rPr>
  </w:style>
  <w:style w:type="character" w:customStyle="1" w:styleId="48">
    <w:name w:val="Balloon Text Char"/>
    <w:basedOn w:val="12"/>
    <w:qFormat/>
    <w:locked/>
    <w:uiPriority w:val="99"/>
    <w:rPr>
      <w:kern w:val="2"/>
      <w:sz w:val="18"/>
      <w:szCs w:val="18"/>
    </w:rPr>
  </w:style>
  <w:style w:type="character" w:customStyle="1" w:styleId="49">
    <w:name w:val="批注框文本 Char"/>
    <w:basedOn w:val="12"/>
    <w:link w:val="6"/>
    <w:semiHidden/>
    <w:qFormat/>
    <w:uiPriority w:val="99"/>
    <w:rPr>
      <w:sz w:val="0"/>
      <w:szCs w:val="0"/>
    </w:rPr>
  </w:style>
  <w:style w:type="character" w:customStyle="1" w:styleId="50">
    <w:name w:val="页眉 Char"/>
    <w:basedOn w:val="12"/>
    <w:link w:val="8"/>
    <w:semiHidden/>
    <w:qFormat/>
    <w:uiPriority w:val="99"/>
    <w:rPr>
      <w:sz w:val="18"/>
      <w:szCs w:val="18"/>
    </w:rPr>
  </w:style>
  <w:style w:type="character" w:customStyle="1" w:styleId="51">
    <w:name w:val="批注文字 Char"/>
    <w:basedOn w:val="12"/>
    <w:link w:val="4"/>
    <w:semiHidden/>
    <w:qFormat/>
    <w:uiPriority w:val="99"/>
    <w:rPr>
      <w:szCs w:val="21"/>
    </w:rPr>
  </w:style>
  <w:style w:type="character" w:customStyle="1" w:styleId="52">
    <w:name w:val="批注主题 Char"/>
    <w:basedOn w:val="30"/>
    <w:link w:val="9"/>
    <w:semiHidden/>
    <w:qFormat/>
    <w:uiPriority w:val="99"/>
    <w:rPr>
      <w:b/>
      <w:bCs/>
      <w:kern w:val="2"/>
      <w:sz w:val="24"/>
      <w:szCs w:val="21"/>
    </w:rPr>
  </w:style>
  <w:style w:type="character" w:customStyle="1" w:styleId="53">
    <w:name w:val="页脚 Char"/>
    <w:basedOn w:val="12"/>
    <w:link w:val="7"/>
    <w:semiHidden/>
    <w:qFormat/>
    <w:uiPriority w:val="99"/>
    <w:rPr>
      <w:sz w:val="18"/>
      <w:szCs w:val="18"/>
    </w:rPr>
  </w:style>
  <w:style w:type="paragraph" w:customStyle="1" w:styleId="54">
    <w:name w:val="Char"/>
    <w:basedOn w:val="1"/>
    <w:qFormat/>
    <w:uiPriority w:val="99"/>
    <w:pPr>
      <w:widowControl/>
      <w:spacing w:after="160" w:line="240" w:lineRule="exact"/>
      <w:jc w:val="left"/>
    </w:pPr>
  </w:style>
  <w:style w:type="paragraph" w:customStyle="1" w:styleId="55">
    <w:name w:val="Char1"/>
    <w:basedOn w:val="1"/>
    <w:qFormat/>
    <w:uiPriority w:val="99"/>
    <w:pPr>
      <w:widowControl/>
      <w:spacing w:after="160" w:line="240" w:lineRule="exact"/>
      <w:jc w:val="left"/>
    </w:pPr>
  </w:style>
  <w:style w:type="paragraph" w:customStyle="1" w:styleId="56">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712</Words>
  <Characters>892</Characters>
  <Lines>7</Lines>
  <Paragraphs>2</Paragraphs>
  <TotalTime>0</TotalTime>
  <ScaleCrop>false</ScaleCrop>
  <LinksUpToDate>false</LinksUpToDate>
  <CharactersWithSpaces>900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2019-06-19T08:47:00Z</dcterms:created>
  <dc:creator>User</dc:creator>
  <cp:lastModifiedBy>我就是那棵树</cp:lastModifiedBy>
  <cp:lastPrinted>2019-01-25T07:39:00Z</cp:lastPrinted>
  <dcterms:modified xsi:type="dcterms:W3CDTF">2026-01-07T07:44:37Z</dcterms:modified>
  <dc:title>资料一：送审稿</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54341FFB07AA49A0AE0F850263DDC3EB</vt:lpwstr>
  </property>
</Properties>
</file>