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val="en-US" w:eastAsia="zh-CN"/>
          <w14:textFill>
            <w14:solidFill>
              <w14:schemeClr w14:val="tx1"/>
            </w14:solidFill>
          </w14:textFill>
        </w:rPr>
        <w:t>2026年六安市家用</w:t>
      </w:r>
      <w:r>
        <w:rPr>
          <w:rFonts w:hint="eastAsia" w:ascii="黑体" w:hAnsi="宋体" w:eastAsia="黑体" w:cs="黑体"/>
          <w:color w:val="000000" w:themeColor="text1"/>
          <w:sz w:val="32"/>
          <w:szCs w:val="32"/>
          <w:lang w:eastAsia="zh-CN"/>
          <w14:textFill>
            <w14:solidFill>
              <w14:schemeClr w14:val="tx1"/>
            </w14:solidFill>
          </w14:textFill>
        </w:rPr>
        <w:t>燃气</w:t>
      </w:r>
      <w:r>
        <w:rPr>
          <w:rFonts w:hint="eastAsia" w:ascii="黑体" w:hAnsi="宋体" w:eastAsia="黑体" w:cs="黑体"/>
          <w:color w:val="000000" w:themeColor="text1"/>
          <w:sz w:val="32"/>
          <w:szCs w:val="32"/>
          <w:lang w:val="en-US" w:eastAsia="zh-CN"/>
          <w14:textFill>
            <w14:solidFill>
              <w14:schemeClr w14:val="tx1"/>
            </w14:solidFill>
          </w14:textFill>
        </w:rPr>
        <w:t>快速</w:t>
      </w:r>
      <w:bookmarkStart w:id="1" w:name="_GoBack"/>
      <w:bookmarkEnd w:id="1"/>
      <w:r>
        <w:rPr>
          <w:rFonts w:hint="eastAsia" w:ascii="黑体" w:hAnsi="宋体" w:eastAsia="黑体" w:cs="黑体"/>
          <w:color w:val="000000" w:themeColor="text1"/>
          <w:sz w:val="32"/>
          <w:szCs w:val="32"/>
          <w:lang w:eastAsia="zh-CN"/>
          <w14:textFill>
            <w14:solidFill>
              <w14:schemeClr w14:val="tx1"/>
            </w14:solidFill>
          </w14:textFill>
        </w:rPr>
        <w:t>热水器产品</w:t>
      </w:r>
      <w:r>
        <w:rPr>
          <w:rFonts w:hint="eastAsia" w:ascii="黑体" w:hAnsi="宋体" w:eastAsia="黑体" w:cs="黑体"/>
          <w:color w:val="000000" w:themeColor="text1"/>
          <w:sz w:val="32"/>
          <w:szCs w:val="32"/>
          <w14:textFill>
            <w14:solidFill>
              <w14:schemeClr w14:val="tx1"/>
            </w14:solidFill>
          </w14:textFill>
        </w:rPr>
        <w:t>质量监督抽查实施细则</w:t>
      </w:r>
    </w:p>
    <w:p>
      <w:pPr>
        <w:spacing w:line="440" w:lineRule="exact"/>
        <w:jc w:val="center"/>
        <w:rPr>
          <w:rFonts w:hint="eastAsia" w:ascii="黑体" w:hAnsi="宋体" w:eastAsia="黑体" w:cs="黑体"/>
          <w:color w:val="000000" w:themeColor="text1"/>
          <w:sz w:val="32"/>
          <w:szCs w:val="32"/>
          <w14:textFill>
            <w14:solidFill>
              <w14:schemeClr w14:val="tx1"/>
            </w14:solidFill>
          </w14:textFill>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1 抽样方法</w:t>
      </w:r>
    </w:p>
    <w:p>
      <w:pPr>
        <w:snapToGrid w:val="0"/>
        <w:spacing w:line="440" w:lineRule="exact"/>
        <w:ind w:firstLine="420" w:firstLineChars="200"/>
        <w:rPr>
          <w:rFonts w:asci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每批次产品抽取样品1台，其中1台作为检验样品</w:t>
      </w:r>
      <w:r>
        <w:rPr>
          <w:rFonts w:hint="eastAsia" w:ascii="宋体" w:hAnsi="宋体"/>
          <w:color w:val="000000"/>
          <w:szCs w:val="21"/>
          <w:lang w:eastAsia="zh-CN"/>
        </w:rPr>
        <w:t>，</w:t>
      </w:r>
      <w:r>
        <w:rPr>
          <w:rFonts w:hint="eastAsia" w:ascii="宋体" w:hAnsi="宋体"/>
          <w:color w:val="000000"/>
          <w:szCs w:val="21"/>
        </w:rPr>
        <w:t>如需复检采用原样复检。</w:t>
      </w: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2 检验依据</w:t>
      </w:r>
    </w:p>
    <w:p>
      <w:pPr>
        <w:snapToGrid w:val="0"/>
        <w:spacing w:line="440" w:lineRule="exact"/>
        <w:ind w:firstLine="420" w:firstLineChars="200"/>
        <w:jc w:val="center"/>
        <w:rPr>
          <w:rFonts w:hint="eastAsia" w:ascii="宋体" w:hAnsi="宋体" w:eastAsia="宋体"/>
          <w:color w:val="000000"/>
          <w:szCs w:val="21"/>
          <w:lang w:eastAsia="zh-CN"/>
        </w:rPr>
      </w:pPr>
      <w:r>
        <w:rPr>
          <w:rFonts w:hint="eastAsia" w:ascii="宋体" w:hAnsi="宋体"/>
          <w:color w:val="000000"/>
          <w:szCs w:val="21"/>
        </w:rPr>
        <w:t>表1</w:t>
      </w:r>
      <w:r>
        <w:rPr>
          <w:rFonts w:hint="eastAsia" w:ascii="宋体" w:hAnsi="宋体"/>
          <w:color w:val="000000"/>
          <w:szCs w:val="21"/>
          <w:lang w:val="en-US" w:eastAsia="zh-CN"/>
        </w:rPr>
        <w:t xml:space="preserve"> </w:t>
      </w:r>
      <w:r>
        <w:rPr>
          <w:rFonts w:hint="eastAsia" w:ascii="宋体" w:hAnsi="宋体" w:eastAsia="宋体" w:cs="宋体"/>
        </w:rPr>
        <w:t>检验项目及检验方法</w:t>
      </w:r>
    </w:p>
    <w:tbl>
      <w:tblPr>
        <w:tblStyle w:val="12"/>
        <w:tblW w:w="7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
        <w:gridCol w:w="597"/>
        <w:gridCol w:w="4641"/>
        <w:gridCol w:w="2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trHeight w:val="540" w:hRule="atLeast"/>
          <w:jc w:val="center"/>
        </w:trPr>
        <w:tc>
          <w:tcPr>
            <w:tcW w:w="597"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序号</w:t>
            </w:r>
          </w:p>
        </w:tc>
        <w:tc>
          <w:tcPr>
            <w:tcW w:w="4641" w:type="dxa"/>
            <w:vAlign w:val="center"/>
          </w:tcPr>
          <w:p>
            <w:pPr>
              <w:jc w:val="center"/>
              <w:rPr>
                <w:rFonts w:hint="eastAsia" w:ascii="宋体" w:hAnsi="宋体" w:eastAsia="宋体" w:cs="宋体"/>
                <w:sz w:val="21"/>
                <w:szCs w:val="21"/>
              </w:rPr>
            </w:pPr>
            <w:r>
              <w:rPr>
                <w:rFonts w:hint="eastAsia" w:ascii="宋体" w:hAnsi="宋体" w:cs="宋体"/>
                <w:sz w:val="21"/>
                <w:szCs w:val="21"/>
                <w:lang w:eastAsia="zh-CN"/>
              </w:rPr>
              <w:t>检验</w:t>
            </w:r>
            <w:r>
              <w:rPr>
                <w:rFonts w:hint="eastAsia" w:ascii="宋体" w:hAnsi="宋体" w:eastAsia="宋体" w:cs="宋体"/>
                <w:sz w:val="21"/>
                <w:szCs w:val="21"/>
              </w:rPr>
              <w:t>项目</w:t>
            </w:r>
          </w:p>
        </w:tc>
        <w:tc>
          <w:tcPr>
            <w:tcW w:w="258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1</w:t>
            </w:r>
          </w:p>
        </w:tc>
        <w:tc>
          <w:tcPr>
            <w:tcW w:w="4641" w:type="dxa"/>
            <w:vAlign w:val="center"/>
          </w:tcPr>
          <w:p>
            <w:pPr>
              <w:rPr>
                <w:rFonts w:hint="eastAsia" w:ascii="宋体" w:hAnsi="宋体" w:eastAsia="宋体" w:cs="宋体"/>
                <w:sz w:val="21"/>
                <w:szCs w:val="21"/>
              </w:rPr>
            </w:pPr>
            <w:r>
              <w:rPr>
                <w:rFonts w:hint="eastAsia" w:ascii="宋体" w:hAnsi="宋体" w:eastAsia="宋体" w:cs="宋体"/>
                <w:sz w:val="21"/>
                <w:szCs w:val="21"/>
              </w:rPr>
              <w:t>燃气系统气密性</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2</w:t>
            </w:r>
          </w:p>
        </w:tc>
        <w:tc>
          <w:tcPr>
            <w:tcW w:w="4641" w:type="dxa"/>
            <w:vAlign w:val="center"/>
          </w:tcPr>
          <w:p>
            <w:pPr>
              <w:jc w:val="both"/>
              <w:rPr>
                <w:rFonts w:hint="eastAsia" w:ascii="宋体" w:hAnsi="宋体" w:eastAsia="宋体" w:cs="宋体"/>
                <w:sz w:val="21"/>
                <w:szCs w:val="21"/>
              </w:rPr>
            </w:pPr>
            <w:r>
              <w:rPr>
                <w:rFonts w:hint="eastAsia" w:ascii="宋体" w:hAnsi="宋体" w:eastAsia="宋体" w:cs="宋体"/>
                <w:sz w:val="21"/>
                <w:szCs w:val="21"/>
                <w:lang w:eastAsia="zh-CN"/>
              </w:rPr>
              <w:t>燃烧工况（</w:t>
            </w:r>
            <w:r>
              <w:rPr>
                <w:rFonts w:hint="eastAsia" w:ascii="宋体" w:hAnsi="宋体" w:eastAsia="宋体" w:cs="宋体"/>
                <w:sz w:val="21"/>
                <w:szCs w:val="21"/>
              </w:rPr>
              <w:t>无风状态</w:t>
            </w:r>
            <w:r>
              <w:rPr>
                <w:rFonts w:hint="eastAsia" w:ascii="宋体" w:hAnsi="宋体" w:eastAsia="宋体" w:cs="宋体"/>
                <w:sz w:val="21"/>
                <w:szCs w:val="21"/>
                <w:lang w:eastAsia="zh-CN"/>
              </w:rPr>
              <w:t>）：</w:t>
            </w:r>
            <w:r>
              <w:rPr>
                <w:rFonts w:hint="eastAsia" w:ascii="宋体" w:hAnsi="宋体" w:eastAsia="宋体" w:cs="宋体"/>
                <w:sz w:val="21"/>
                <w:szCs w:val="21"/>
              </w:rPr>
              <w:t>火焰传递</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3</w:t>
            </w:r>
          </w:p>
        </w:tc>
        <w:tc>
          <w:tcPr>
            <w:tcW w:w="4641" w:type="dxa"/>
            <w:vAlign w:val="center"/>
          </w:tcPr>
          <w:p>
            <w:pP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燃烧工况</w:t>
            </w:r>
            <w:r>
              <w:rPr>
                <w:rFonts w:hint="eastAsia" w:ascii="宋体" w:hAnsi="宋体" w:eastAsia="宋体" w:cs="宋体"/>
                <w:sz w:val="21"/>
                <w:szCs w:val="21"/>
              </w:rPr>
              <w:t>（无风状态）</w:t>
            </w:r>
            <w:r>
              <w:rPr>
                <w:rFonts w:hint="eastAsia" w:ascii="宋体" w:hAnsi="宋体" w:eastAsia="宋体" w:cs="宋体"/>
                <w:sz w:val="21"/>
                <w:szCs w:val="21"/>
                <w:lang w:eastAsia="zh-CN"/>
              </w:rPr>
              <w:t>：</w:t>
            </w:r>
            <w:r>
              <w:rPr>
                <w:rFonts w:hint="eastAsia" w:ascii="宋体" w:hAnsi="宋体" w:eastAsia="宋体" w:cs="宋体"/>
                <w:sz w:val="21"/>
                <w:szCs w:val="21"/>
              </w:rPr>
              <w:t>火焰状态</w:t>
            </w:r>
          </w:p>
        </w:tc>
        <w:tc>
          <w:tcPr>
            <w:tcW w:w="2584" w:type="dxa"/>
            <w:tcBorders>
              <w:bottom w:val="nil"/>
            </w:tcBorders>
            <w:vAlign w:val="center"/>
          </w:tcPr>
          <w:p>
            <w:pPr>
              <w:ind w:left="-94" w:leftChars="0" w:right="-1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4</w:t>
            </w:r>
          </w:p>
        </w:tc>
        <w:tc>
          <w:tcPr>
            <w:tcW w:w="4641" w:type="dxa"/>
            <w:vAlign w:val="center"/>
          </w:tcPr>
          <w:p>
            <w:pP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燃烧工况</w:t>
            </w:r>
            <w:r>
              <w:rPr>
                <w:rFonts w:hint="eastAsia" w:ascii="宋体" w:hAnsi="宋体" w:eastAsia="宋体" w:cs="宋体"/>
                <w:sz w:val="21"/>
                <w:szCs w:val="21"/>
              </w:rPr>
              <w:t>（无风状态）</w:t>
            </w:r>
            <w:r>
              <w:rPr>
                <w:rFonts w:hint="eastAsia" w:ascii="宋体" w:hAnsi="宋体" w:eastAsia="宋体" w:cs="宋体"/>
                <w:sz w:val="21"/>
                <w:szCs w:val="21"/>
                <w:lang w:eastAsia="zh-CN"/>
              </w:rPr>
              <w:t>：</w:t>
            </w:r>
            <w:r>
              <w:rPr>
                <w:rFonts w:hint="eastAsia" w:ascii="宋体" w:hAnsi="宋体" w:eastAsia="宋体" w:cs="宋体"/>
                <w:sz w:val="21"/>
                <w:szCs w:val="21"/>
              </w:rPr>
              <w:t>积碳</w:t>
            </w:r>
          </w:p>
        </w:tc>
        <w:tc>
          <w:tcPr>
            <w:tcW w:w="2584" w:type="dxa"/>
            <w:tcBorders>
              <w:bottom w:val="nil"/>
            </w:tcBorders>
            <w:vAlign w:val="center"/>
          </w:tcPr>
          <w:p>
            <w:pPr>
              <w:ind w:left="-94" w:leftChars="0" w:right="-1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5</w:t>
            </w:r>
          </w:p>
        </w:tc>
        <w:tc>
          <w:tcPr>
            <w:tcW w:w="4641"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燃烧工况</w:t>
            </w:r>
            <w:r>
              <w:rPr>
                <w:rFonts w:hint="eastAsia" w:ascii="宋体" w:hAnsi="宋体" w:eastAsia="宋体" w:cs="宋体"/>
                <w:sz w:val="21"/>
                <w:szCs w:val="21"/>
              </w:rPr>
              <w:t>（无风状态）</w:t>
            </w:r>
            <w:r>
              <w:rPr>
                <w:rFonts w:hint="eastAsia" w:ascii="宋体" w:hAnsi="宋体" w:eastAsia="宋体" w:cs="宋体"/>
                <w:sz w:val="21"/>
                <w:szCs w:val="21"/>
                <w:lang w:eastAsia="zh-CN"/>
              </w:rPr>
              <w:t>：</w:t>
            </w:r>
            <w:r>
              <w:rPr>
                <w:rFonts w:hint="eastAsia" w:ascii="宋体" w:hAnsi="宋体" w:eastAsia="宋体" w:cs="宋体"/>
                <w:sz w:val="21"/>
                <w:szCs w:val="21"/>
              </w:rPr>
              <w:t>火焰稳定性</w:t>
            </w:r>
          </w:p>
        </w:tc>
        <w:tc>
          <w:tcPr>
            <w:tcW w:w="2584" w:type="dxa"/>
            <w:tcBorders>
              <w:bottom w:val="nil"/>
            </w:tcBorders>
            <w:vAlign w:val="center"/>
          </w:tcPr>
          <w:p>
            <w:pPr>
              <w:ind w:left="-94" w:leftChars="0" w:right="-1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6</w:t>
            </w:r>
          </w:p>
        </w:tc>
        <w:tc>
          <w:tcPr>
            <w:tcW w:w="4641" w:type="dxa"/>
            <w:vAlign w:val="center"/>
          </w:tcPr>
          <w:p>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燃烧工况</w:t>
            </w:r>
            <w:r>
              <w:rPr>
                <w:rFonts w:hint="eastAsia" w:ascii="宋体" w:hAnsi="宋体" w:eastAsia="宋体" w:cs="宋体"/>
                <w:sz w:val="21"/>
                <w:szCs w:val="21"/>
              </w:rPr>
              <w:t>（无风状态）</w:t>
            </w:r>
            <w:r>
              <w:rPr>
                <w:rFonts w:hint="eastAsia" w:ascii="宋体" w:hAnsi="宋体" w:eastAsia="宋体" w:cs="宋体"/>
                <w:sz w:val="21"/>
                <w:szCs w:val="21"/>
                <w:lang w:eastAsia="zh-CN"/>
              </w:rPr>
              <w:t>：</w:t>
            </w:r>
            <w:r>
              <w:rPr>
                <w:rFonts w:hint="eastAsia" w:ascii="宋体" w:hAnsi="宋体" w:eastAsia="宋体" w:cs="宋体"/>
                <w:sz w:val="21"/>
                <w:szCs w:val="21"/>
              </w:rPr>
              <w:t>烟气中一氧化碳含量</w:t>
            </w:r>
          </w:p>
        </w:tc>
        <w:tc>
          <w:tcPr>
            <w:tcW w:w="2584" w:type="dxa"/>
            <w:tcBorders>
              <w:bottom w:val="nil"/>
            </w:tcBorders>
            <w:vAlign w:val="center"/>
          </w:tcPr>
          <w:p>
            <w:pPr>
              <w:ind w:left="-94" w:leftChars="0" w:right="-1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p>
        </w:tc>
        <w:tc>
          <w:tcPr>
            <w:tcW w:w="4641" w:type="dxa"/>
            <w:vAlign w:val="center"/>
          </w:tcPr>
          <w:p>
            <w:pPr>
              <w:jc w:val="both"/>
              <w:rPr>
                <w:rFonts w:hint="default" w:ascii="宋体" w:hAnsi="宋体" w:eastAsia="宋体" w:cs="宋体"/>
                <w:sz w:val="21"/>
                <w:szCs w:val="21"/>
                <w:lang w:val="en-US" w:eastAsia="zh-CN"/>
              </w:rPr>
            </w:pPr>
            <w:r>
              <w:rPr>
                <w:rFonts w:hint="eastAsia" w:ascii="宋体" w:hAnsi="宋体" w:eastAsia="宋体" w:cs="宋体"/>
                <w:sz w:val="21"/>
                <w:szCs w:val="21"/>
                <w:lang w:eastAsia="zh-CN"/>
              </w:rPr>
              <w:t>燃烧工况</w:t>
            </w:r>
            <w:r>
              <w:rPr>
                <w:rFonts w:hint="eastAsia" w:ascii="宋体" w:hAnsi="宋体" w:eastAsia="宋体" w:cs="宋体"/>
                <w:sz w:val="21"/>
                <w:szCs w:val="21"/>
              </w:rPr>
              <w:t>（无风状态）</w:t>
            </w:r>
            <w:r>
              <w:rPr>
                <w:rFonts w:hint="eastAsia" w:ascii="宋体" w:hAnsi="宋体" w:eastAsia="宋体" w:cs="宋体"/>
                <w:sz w:val="21"/>
                <w:szCs w:val="21"/>
                <w:lang w:eastAsia="zh-CN"/>
              </w:rPr>
              <w:t>：</w:t>
            </w:r>
            <w:r>
              <w:rPr>
                <w:rFonts w:hint="eastAsia" w:ascii="宋体" w:hAnsi="宋体" w:cs="宋体"/>
                <w:sz w:val="21"/>
                <w:szCs w:val="21"/>
                <w:lang w:val="en-US" w:eastAsia="zh-CN"/>
              </w:rPr>
              <w:t>点火燃烧器稳定性</w:t>
            </w:r>
          </w:p>
        </w:tc>
        <w:tc>
          <w:tcPr>
            <w:tcW w:w="2584" w:type="dxa"/>
            <w:tcBorders>
              <w:bottom w:val="nil"/>
            </w:tcBorders>
            <w:vAlign w:val="center"/>
          </w:tcPr>
          <w:p>
            <w:pPr>
              <w:ind w:left="-94" w:leftChars="0" w:right="-17" w:rightChars="0"/>
              <w:jc w:val="center"/>
              <w:rPr>
                <w:rFonts w:hint="eastAsia" w:ascii="宋体" w:hAnsi="宋体" w:eastAsia="宋体" w:cs="宋体"/>
                <w:sz w:val="21"/>
                <w:szCs w:val="21"/>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8</w:t>
            </w:r>
          </w:p>
        </w:tc>
        <w:tc>
          <w:tcPr>
            <w:tcW w:w="4641" w:type="dxa"/>
            <w:vAlign w:val="center"/>
          </w:tcPr>
          <w:p>
            <w:pPr>
              <w:jc w:val="both"/>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安全装置：</w:t>
            </w:r>
            <w:r>
              <w:rPr>
                <w:rFonts w:hint="eastAsia" w:ascii="宋体" w:hAnsi="宋体" w:eastAsia="宋体" w:cs="宋体"/>
                <w:sz w:val="21"/>
                <w:szCs w:val="21"/>
              </w:rPr>
              <w:t>熄火保护装置</w:t>
            </w:r>
          </w:p>
        </w:tc>
        <w:tc>
          <w:tcPr>
            <w:tcW w:w="2584" w:type="dxa"/>
            <w:tcBorders>
              <w:bottom w:val="nil"/>
            </w:tcBorders>
            <w:vAlign w:val="center"/>
          </w:tcPr>
          <w:p>
            <w:pPr>
              <w:ind w:left="-94" w:leftChars="0" w:right="-1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9</w:t>
            </w:r>
          </w:p>
        </w:tc>
        <w:tc>
          <w:tcPr>
            <w:tcW w:w="4641" w:type="dxa"/>
            <w:vAlign w:val="center"/>
          </w:tcPr>
          <w:p>
            <w:pPr>
              <w:jc w:val="both"/>
              <w:rPr>
                <w:rFonts w:hint="eastAsia" w:ascii="宋体" w:hAnsi="宋体" w:cs="宋体"/>
                <w:sz w:val="21"/>
                <w:szCs w:val="21"/>
                <w:lang w:val="en-US" w:eastAsia="zh-CN"/>
              </w:rPr>
            </w:pPr>
            <w:r>
              <w:rPr>
                <w:rFonts w:hint="eastAsia" w:ascii="宋体" w:hAnsi="宋体" w:cs="宋体"/>
                <w:sz w:val="21"/>
                <w:szCs w:val="21"/>
                <w:lang w:val="en-US" w:eastAsia="zh-CN"/>
              </w:rPr>
              <w:t>安全装置：再点火安全装置</w:t>
            </w:r>
          </w:p>
        </w:tc>
        <w:tc>
          <w:tcPr>
            <w:tcW w:w="2584" w:type="dxa"/>
            <w:tcBorders>
              <w:bottom w:val="nil"/>
            </w:tcBorders>
            <w:vAlign w:val="center"/>
          </w:tcPr>
          <w:p>
            <w:pPr>
              <w:ind w:left="-94" w:leftChars="0" w:right="-17"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10</w:t>
            </w:r>
          </w:p>
        </w:tc>
        <w:tc>
          <w:tcPr>
            <w:tcW w:w="4641" w:type="dxa"/>
            <w:vAlign w:val="center"/>
          </w:tcPr>
          <w:p>
            <w:pPr>
              <w:jc w:val="both"/>
              <w:rPr>
                <w:rFonts w:hint="eastAsia" w:ascii="宋体" w:hAnsi="宋体" w:cs="宋体"/>
                <w:sz w:val="21"/>
                <w:szCs w:val="21"/>
                <w:lang w:val="en-US" w:eastAsia="zh-CN"/>
              </w:rPr>
            </w:pPr>
            <w:r>
              <w:rPr>
                <w:rFonts w:hint="eastAsia" w:ascii="宋体" w:hAnsi="宋体" w:cs="宋体"/>
                <w:sz w:val="21"/>
                <w:szCs w:val="21"/>
                <w:lang w:val="en-US" w:eastAsia="zh-CN"/>
              </w:rPr>
              <w:t>安全装置：烟道堵塞安全装置（Q型）</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11</w:t>
            </w:r>
          </w:p>
        </w:tc>
        <w:tc>
          <w:tcPr>
            <w:tcW w:w="4641" w:type="dxa"/>
            <w:vAlign w:val="center"/>
          </w:tcPr>
          <w:p>
            <w:pPr>
              <w:jc w:val="both"/>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安全装置：</w:t>
            </w:r>
            <w:r>
              <w:rPr>
                <w:rFonts w:hint="eastAsia" w:ascii="宋体" w:hAnsi="宋体" w:eastAsia="宋体" w:cs="宋体"/>
                <w:sz w:val="21"/>
                <w:szCs w:val="21"/>
              </w:rPr>
              <w:t>防干烧安全装置</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12</w:t>
            </w:r>
          </w:p>
        </w:tc>
        <w:tc>
          <w:tcPr>
            <w:tcW w:w="4641" w:type="dxa"/>
            <w:vAlign w:val="center"/>
          </w:tcPr>
          <w:p>
            <w:pP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电气部分：</w:t>
            </w:r>
            <w:r>
              <w:rPr>
                <w:rFonts w:hint="eastAsia" w:ascii="宋体" w:hAnsi="宋体" w:eastAsia="宋体" w:cs="宋体"/>
                <w:sz w:val="21"/>
                <w:szCs w:val="21"/>
              </w:rPr>
              <w:t>接地措施</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13</w:t>
            </w:r>
          </w:p>
        </w:tc>
        <w:tc>
          <w:tcPr>
            <w:tcW w:w="4641" w:type="dxa"/>
            <w:vAlign w:val="center"/>
          </w:tcPr>
          <w:p>
            <w:pPr>
              <w:pStyle w:val="7"/>
              <w:ind w:firstLine="0" w:firstLineChars="0"/>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电气部分：</w:t>
            </w:r>
            <w:r>
              <w:rPr>
                <w:rFonts w:hint="eastAsia" w:ascii="宋体" w:hAnsi="宋体" w:eastAsia="宋体" w:cs="宋体"/>
                <w:sz w:val="21"/>
                <w:szCs w:val="21"/>
                <w:lang w:eastAsia="zh-CN"/>
              </w:rPr>
              <w:t>泄漏电流</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w:t>
            </w:r>
          </w:p>
        </w:tc>
        <w:tc>
          <w:tcPr>
            <w:tcW w:w="4641" w:type="dxa"/>
            <w:vAlign w:val="center"/>
          </w:tcPr>
          <w:p>
            <w:pP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电气部分：</w:t>
            </w:r>
            <w:r>
              <w:rPr>
                <w:rFonts w:hint="eastAsia" w:ascii="宋体" w:hAnsi="宋体" w:eastAsia="宋体" w:cs="宋体"/>
                <w:sz w:val="21"/>
                <w:szCs w:val="21"/>
              </w:rPr>
              <w:t>电气强度</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05" w:type="dxa"/>
            <w:gridSpan w:val="2"/>
            <w:vAlign w:val="center"/>
          </w:tcPr>
          <w:p>
            <w:pPr>
              <w:ind w:left="-125" w:leftChars="0" w:right="-108" w:rightChars="0"/>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15</w:t>
            </w:r>
          </w:p>
        </w:tc>
        <w:tc>
          <w:tcPr>
            <w:tcW w:w="4641" w:type="dxa"/>
            <w:vAlign w:val="center"/>
          </w:tcPr>
          <w:p>
            <w:pPr>
              <w:pStyle w:val="7"/>
              <w:ind w:firstLine="0"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标志</w:t>
            </w:r>
          </w:p>
        </w:tc>
        <w:tc>
          <w:tcPr>
            <w:tcW w:w="2584"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GB</w:t>
            </w:r>
            <w:r>
              <w:rPr>
                <w:rFonts w:hint="eastAsia" w:ascii="宋体" w:hAnsi="宋体" w:cs="宋体"/>
                <w:sz w:val="21"/>
                <w:szCs w:val="21"/>
                <w:lang w:val="en-US" w:eastAsia="zh-CN"/>
              </w:rPr>
              <w:t xml:space="preserve"> </w:t>
            </w:r>
            <w:r>
              <w:rPr>
                <w:rFonts w:hint="eastAsia" w:ascii="宋体" w:hAnsi="宋体" w:eastAsia="宋体" w:cs="宋体"/>
                <w:sz w:val="21"/>
                <w:szCs w:val="21"/>
              </w:rPr>
              <w:t>6932-2015</w:t>
            </w:r>
          </w:p>
        </w:tc>
      </w:tr>
    </w:tbl>
    <w:p>
      <w:pPr>
        <w:adjustRightInd w:val="0"/>
        <w:snapToGrid w:val="0"/>
        <w:spacing w:line="440" w:lineRule="exact"/>
        <w:ind w:firstLine="420" w:firstLineChars="200"/>
        <w:rPr>
          <w:color w:val="000000"/>
          <w:szCs w:val="21"/>
        </w:rPr>
      </w:pPr>
      <w:bookmarkStart w:id="0" w:name="_Hlk40347690"/>
      <w:r>
        <w:rPr>
          <w:rFonts w:hint="eastAsia"/>
          <w:color w:val="000000"/>
          <w:szCs w:val="21"/>
        </w:rPr>
        <w:t>执行企业标准、团体标准、地方标准的产品，检验项目参照上述内容执行。</w:t>
      </w:r>
    </w:p>
    <w:bookmarkEnd w:id="0"/>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eastAsia" w:ascii="黑体" w:hAnsi="宋体" w:eastAsia="黑体"/>
          <w:b w:val="0"/>
          <w:bCs w:val="0"/>
          <w:color w:val="000000"/>
          <w:szCs w:val="21"/>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3 判定规则</w:t>
      </w:r>
    </w:p>
    <w:p>
      <w:pPr>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3.1依据标准</w:t>
      </w:r>
    </w:p>
    <w:p>
      <w:pPr>
        <w:spacing w:line="280" w:lineRule="exact"/>
        <w:ind w:firstLine="420" w:firstLineChars="200"/>
        <w:rPr>
          <w:rFonts w:hint="eastAsia" w:ascii="宋体" w:hAnsi="宋体"/>
        </w:rPr>
      </w:pPr>
      <w:r>
        <w:rPr>
          <w:rFonts w:hint="eastAsia" w:ascii="宋体" w:hAnsi="宋体" w:cs="宋体"/>
          <w:szCs w:val="21"/>
        </w:rPr>
        <w:t>GB</w:t>
      </w:r>
      <w:r>
        <w:rPr>
          <w:rFonts w:hint="eastAsia" w:ascii="宋体" w:hAnsi="宋体" w:cs="宋体"/>
          <w:szCs w:val="21"/>
          <w:lang w:val="en-US" w:eastAsia="zh-CN"/>
        </w:rPr>
        <w:t xml:space="preserve"> </w:t>
      </w:r>
      <w:r>
        <w:rPr>
          <w:rFonts w:hint="eastAsia" w:ascii="宋体" w:hAnsi="宋体" w:cs="宋体"/>
          <w:szCs w:val="21"/>
        </w:rPr>
        <w:t xml:space="preserve">6932-2015 </w:t>
      </w:r>
      <w:r>
        <w:rPr>
          <w:rFonts w:hint="eastAsia" w:ascii="宋体" w:hAnsi="宋体" w:cs="宋体"/>
          <w:szCs w:val="21"/>
          <w:lang w:val="en-US" w:eastAsia="zh-CN"/>
        </w:rPr>
        <w:t xml:space="preserve"> </w:t>
      </w:r>
      <w:r>
        <w:rPr>
          <w:rFonts w:hint="eastAsia" w:ascii="宋体" w:hAnsi="宋体" w:cs="宋体"/>
          <w:szCs w:val="21"/>
        </w:rPr>
        <w:t>家用燃气快速热水器</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3.2判定原则</w:t>
      </w:r>
    </w:p>
    <w:p>
      <w:pPr>
        <w:adjustRightInd w:val="0"/>
        <w:snapToGrid w:val="0"/>
        <w:spacing w:line="440" w:lineRule="exact"/>
        <w:ind w:firstLine="420" w:firstLineChars="200"/>
        <w:rPr>
          <w:rFonts w:hint="eastAsia"/>
          <w:color w:val="000000"/>
          <w:highlight w:val="none"/>
        </w:rPr>
      </w:pPr>
      <w:r>
        <w:rPr>
          <w:rFonts w:hint="eastAsia"/>
          <w:color w:val="000000"/>
          <w:highlight w:val="none"/>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hint="eastAsia" w:ascii="宋体" w:hAnsi="宋体"/>
          <w:b/>
          <w:lang w:val="en-US" w:eastAsia="zh-CN"/>
        </w:rPr>
      </w:pPr>
      <w:r>
        <w:rPr>
          <w:rFonts w:hint="eastAsia"/>
          <w:color w:val="000000"/>
          <w:highlight w:val="none"/>
        </w:rPr>
        <w:t>若被检产品明示的质量要求缺少本细则中检验项目依据的推荐性标准要求时，该项目不参与判定。</w:t>
      </w:r>
    </w:p>
    <w:p>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4  附则</w:t>
      </w:r>
    </w:p>
    <w:p>
      <w:pPr>
        <w:spacing w:line="400" w:lineRule="exact"/>
        <w:ind w:firstLine="420" w:firstLineChars="200"/>
        <w:rPr>
          <w:rFonts w:ascii="宋体" w:hAnsi="宋体"/>
          <w:highlight w:val="none"/>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w:t>
      </w:r>
      <w:r>
        <w:rPr>
          <w:rFonts w:hint="eastAsia" w:ascii="宋体" w:hAnsi="宋体"/>
          <w:highlight w:val="none"/>
          <w:lang w:eastAsia="zh-CN"/>
        </w:rPr>
        <w:t>市</w:t>
      </w:r>
      <w:r>
        <w:rPr>
          <w:rFonts w:hint="eastAsia" w:ascii="宋体" w:hAnsi="宋体"/>
          <w:highlight w:val="none"/>
        </w:rPr>
        <w:t>市场监督管理局管理。</w:t>
      </w:r>
    </w:p>
    <w:p>
      <w:pPr>
        <w:adjustRightInd w:val="0"/>
        <w:snapToGrid w:val="0"/>
        <w:spacing w:line="440" w:lineRule="exact"/>
        <w:ind w:firstLine="417" w:firstLineChars="199"/>
        <w:rPr>
          <w:rFonts w:hint="eastAsia" w:ascii="宋体" w:hAnsi="宋体" w:eastAsia="宋体" w:cs="宋体"/>
          <w:color w:val="000000"/>
        </w:rPr>
      </w:pP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1</w:t>
    </w:r>
    <w:r>
      <w:rPr>
        <w:rStyle w:val="16"/>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mMzIwYjQzY2U3NzM3MmIxMmNhMDczMGE1MTY0MDQifQ=="/>
  </w:docVars>
  <w:rsids>
    <w:rsidRoot w:val="00172A27"/>
    <w:rsid w:val="00005A20"/>
    <w:rsid w:val="00034B28"/>
    <w:rsid w:val="000351D9"/>
    <w:rsid w:val="00036397"/>
    <w:rsid w:val="00040155"/>
    <w:rsid w:val="0004751E"/>
    <w:rsid w:val="00063255"/>
    <w:rsid w:val="00086A23"/>
    <w:rsid w:val="000A1A2F"/>
    <w:rsid w:val="00102157"/>
    <w:rsid w:val="00104380"/>
    <w:rsid w:val="001140D2"/>
    <w:rsid w:val="00124675"/>
    <w:rsid w:val="0014700C"/>
    <w:rsid w:val="00166795"/>
    <w:rsid w:val="00172A27"/>
    <w:rsid w:val="001A26F3"/>
    <w:rsid w:val="00217AF4"/>
    <w:rsid w:val="002449DB"/>
    <w:rsid w:val="00267592"/>
    <w:rsid w:val="002904F5"/>
    <w:rsid w:val="002A75DE"/>
    <w:rsid w:val="002B7064"/>
    <w:rsid w:val="002C2F25"/>
    <w:rsid w:val="00303465"/>
    <w:rsid w:val="003042F4"/>
    <w:rsid w:val="003117B3"/>
    <w:rsid w:val="003122F5"/>
    <w:rsid w:val="0031572F"/>
    <w:rsid w:val="00324255"/>
    <w:rsid w:val="00350941"/>
    <w:rsid w:val="00353A78"/>
    <w:rsid w:val="00364676"/>
    <w:rsid w:val="00391605"/>
    <w:rsid w:val="003C2376"/>
    <w:rsid w:val="003C65F2"/>
    <w:rsid w:val="003F7C05"/>
    <w:rsid w:val="0041062C"/>
    <w:rsid w:val="00417AC8"/>
    <w:rsid w:val="00420831"/>
    <w:rsid w:val="0042209F"/>
    <w:rsid w:val="00431E3E"/>
    <w:rsid w:val="004560A2"/>
    <w:rsid w:val="004678B5"/>
    <w:rsid w:val="004743C7"/>
    <w:rsid w:val="004A2E96"/>
    <w:rsid w:val="004B5F3C"/>
    <w:rsid w:val="004B7702"/>
    <w:rsid w:val="004C4065"/>
    <w:rsid w:val="004E6040"/>
    <w:rsid w:val="00520CB1"/>
    <w:rsid w:val="00522C50"/>
    <w:rsid w:val="00530C8F"/>
    <w:rsid w:val="005512AF"/>
    <w:rsid w:val="00584453"/>
    <w:rsid w:val="005C719E"/>
    <w:rsid w:val="00600AD2"/>
    <w:rsid w:val="00645B6E"/>
    <w:rsid w:val="00652B07"/>
    <w:rsid w:val="00661968"/>
    <w:rsid w:val="006822A8"/>
    <w:rsid w:val="00684B99"/>
    <w:rsid w:val="006D6300"/>
    <w:rsid w:val="00700901"/>
    <w:rsid w:val="00706509"/>
    <w:rsid w:val="007226CF"/>
    <w:rsid w:val="00724B03"/>
    <w:rsid w:val="0075724F"/>
    <w:rsid w:val="007808DD"/>
    <w:rsid w:val="0078145F"/>
    <w:rsid w:val="007852CC"/>
    <w:rsid w:val="007875B4"/>
    <w:rsid w:val="0079491D"/>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B08F7"/>
    <w:rsid w:val="008C589D"/>
    <w:rsid w:val="008D1F5A"/>
    <w:rsid w:val="008E2383"/>
    <w:rsid w:val="008F0B4B"/>
    <w:rsid w:val="00903ABE"/>
    <w:rsid w:val="009147F5"/>
    <w:rsid w:val="00941062"/>
    <w:rsid w:val="009476BB"/>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D301E"/>
    <w:rsid w:val="00AF0342"/>
    <w:rsid w:val="00AF1BB4"/>
    <w:rsid w:val="00AF5C07"/>
    <w:rsid w:val="00AF6D63"/>
    <w:rsid w:val="00B05067"/>
    <w:rsid w:val="00B46293"/>
    <w:rsid w:val="00B7576B"/>
    <w:rsid w:val="00B93D5F"/>
    <w:rsid w:val="00B94024"/>
    <w:rsid w:val="00B95D86"/>
    <w:rsid w:val="00B97899"/>
    <w:rsid w:val="00BD50B9"/>
    <w:rsid w:val="00BE6444"/>
    <w:rsid w:val="00CB67B8"/>
    <w:rsid w:val="00CD3BA2"/>
    <w:rsid w:val="00CF0F78"/>
    <w:rsid w:val="00D26000"/>
    <w:rsid w:val="00D40532"/>
    <w:rsid w:val="00D57517"/>
    <w:rsid w:val="00D634BD"/>
    <w:rsid w:val="00D63AC5"/>
    <w:rsid w:val="00D92628"/>
    <w:rsid w:val="00DF6362"/>
    <w:rsid w:val="00E0102D"/>
    <w:rsid w:val="00E01962"/>
    <w:rsid w:val="00E16EE7"/>
    <w:rsid w:val="00E40971"/>
    <w:rsid w:val="00E55F76"/>
    <w:rsid w:val="00E6068B"/>
    <w:rsid w:val="00E8287C"/>
    <w:rsid w:val="00E9268C"/>
    <w:rsid w:val="00E95EA4"/>
    <w:rsid w:val="00EC5BDF"/>
    <w:rsid w:val="00ED7FE2"/>
    <w:rsid w:val="00F315CC"/>
    <w:rsid w:val="00FB21B8"/>
    <w:rsid w:val="031943E4"/>
    <w:rsid w:val="033A014E"/>
    <w:rsid w:val="039314DE"/>
    <w:rsid w:val="03D60D44"/>
    <w:rsid w:val="046C74B4"/>
    <w:rsid w:val="050B47B9"/>
    <w:rsid w:val="067324D7"/>
    <w:rsid w:val="07672914"/>
    <w:rsid w:val="07F22019"/>
    <w:rsid w:val="08A74A48"/>
    <w:rsid w:val="097537AA"/>
    <w:rsid w:val="09B37439"/>
    <w:rsid w:val="0BE05C40"/>
    <w:rsid w:val="0FB82358"/>
    <w:rsid w:val="112A47B8"/>
    <w:rsid w:val="12495675"/>
    <w:rsid w:val="13045B35"/>
    <w:rsid w:val="157A1825"/>
    <w:rsid w:val="15805E4D"/>
    <w:rsid w:val="16013DF0"/>
    <w:rsid w:val="16E21CB9"/>
    <w:rsid w:val="174278B6"/>
    <w:rsid w:val="18C14E5E"/>
    <w:rsid w:val="19F67CCD"/>
    <w:rsid w:val="1A9A478D"/>
    <w:rsid w:val="1B103D73"/>
    <w:rsid w:val="1B41616E"/>
    <w:rsid w:val="1B6415FF"/>
    <w:rsid w:val="1CDC37CE"/>
    <w:rsid w:val="1D5239E6"/>
    <w:rsid w:val="1ED66FCF"/>
    <w:rsid w:val="24E848A1"/>
    <w:rsid w:val="24F00A6B"/>
    <w:rsid w:val="25240560"/>
    <w:rsid w:val="253E3FF2"/>
    <w:rsid w:val="25AD4C1F"/>
    <w:rsid w:val="26DB7EAB"/>
    <w:rsid w:val="29395066"/>
    <w:rsid w:val="293D1DB5"/>
    <w:rsid w:val="29BB4DC0"/>
    <w:rsid w:val="2A560303"/>
    <w:rsid w:val="2B4C06CC"/>
    <w:rsid w:val="2B711D54"/>
    <w:rsid w:val="2C89367C"/>
    <w:rsid w:val="2CEE4744"/>
    <w:rsid w:val="2D79212A"/>
    <w:rsid w:val="2E2E1C11"/>
    <w:rsid w:val="2E851362"/>
    <w:rsid w:val="2F20375F"/>
    <w:rsid w:val="2F497C57"/>
    <w:rsid w:val="30DF68CE"/>
    <w:rsid w:val="31D87FFF"/>
    <w:rsid w:val="35B06902"/>
    <w:rsid w:val="35B075D2"/>
    <w:rsid w:val="3667278C"/>
    <w:rsid w:val="3762738D"/>
    <w:rsid w:val="379F351A"/>
    <w:rsid w:val="398423C7"/>
    <w:rsid w:val="3A1B3817"/>
    <w:rsid w:val="3BC506E1"/>
    <w:rsid w:val="3C8B41F8"/>
    <w:rsid w:val="3E8423B0"/>
    <w:rsid w:val="3F5073A0"/>
    <w:rsid w:val="3FA62DAB"/>
    <w:rsid w:val="3FAC7EA4"/>
    <w:rsid w:val="3FB83E19"/>
    <w:rsid w:val="40A37299"/>
    <w:rsid w:val="40F40103"/>
    <w:rsid w:val="41101E4C"/>
    <w:rsid w:val="41897783"/>
    <w:rsid w:val="458C59F6"/>
    <w:rsid w:val="45BB3CEC"/>
    <w:rsid w:val="461A6091"/>
    <w:rsid w:val="475472AD"/>
    <w:rsid w:val="48B4421B"/>
    <w:rsid w:val="4BF421CA"/>
    <w:rsid w:val="4F423312"/>
    <w:rsid w:val="50171042"/>
    <w:rsid w:val="509F1015"/>
    <w:rsid w:val="521C6A34"/>
    <w:rsid w:val="522B5DD4"/>
    <w:rsid w:val="56A603BA"/>
    <w:rsid w:val="56C73602"/>
    <w:rsid w:val="575E26DE"/>
    <w:rsid w:val="57FA2AB3"/>
    <w:rsid w:val="58625F74"/>
    <w:rsid w:val="5872092A"/>
    <w:rsid w:val="5B9428B5"/>
    <w:rsid w:val="5CBC1ADB"/>
    <w:rsid w:val="5EF9755F"/>
    <w:rsid w:val="61491E22"/>
    <w:rsid w:val="61BD3765"/>
    <w:rsid w:val="622A33CC"/>
    <w:rsid w:val="627F1B8D"/>
    <w:rsid w:val="62E51B76"/>
    <w:rsid w:val="65C57E4D"/>
    <w:rsid w:val="668918E4"/>
    <w:rsid w:val="66B141AA"/>
    <w:rsid w:val="68B3479B"/>
    <w:rsid w:val="69BA397D"/>
    <w:rsid w:val="6A3D00DC"/>
    <w:rsid w:val="6A8A174C"/>
    <w:rsid w:val="6BAB4C74"/>
    <w:rsid w:val="6BC74101"/>
    <w:rsid w:val="6BCC1AEC"/>
    <w:rsid w:val="6CE3305F"/>
    <w:rsid w:val="6D9745DB"/>
    <w:rsid w:val="70333285"/>
    <w:rsid w:val="73225E48"/>
    <w:rsid w:val="75B310A7"/>
    <w:rsid w:val="76D23F5B"/>
    <w:rsid w:val="76EA7752"/>
    <w:rsid w:val="78106988"/>
    <w:rsid w:val="78EF17CC"/>
    <w:rsid w:val="7B537873"/>
    <w:rsid w:val="7CEC5223"/>
    <w:rsid w:val="7E2C5F0E"/>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8"/>
    <w:qFormat/>
    <w:uiPriority w:val="99"/>
    <w:pPr>
      <w:jc w:val="left"/>
      <w:outlineLvl w:val="0"/>
    </w:pPr>
    <w:rPr>
      <w:rFonts w:ascii="宋体" w:hAnsi="宋体" w:cs="宋体"/>
      <w:b/>
      <w:bCs/>
      <w:color w:val="333333"/>
      <w:kern w:val="44"/>
      <w:sz w:val="30"/>
      <w:szCs w:val="30"/>
    </w:rPr>
  </w:style>
  <w:style w:type="paragraph" w:styleId="3">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qFormat/>
    <w:uiPriority w:val="99"/>
    <w:pPr>
      <w:autoSpaceDE w:val="0"/>
      <w:autoSpaceDN w:val="0"/>
      <w:adjustRightInd w:val="0"/>
      <w:spacing w:line="360" w:lineRule="atLeast"/>
      <w:jc w:val="center"/>
      <w:textAlignment w:val="baseline"/>
    </w:pPr>
    <w:rPr>
      <w:rFonts w:ascii="Times New Roman" w:hAnsi="Times New Roman"/>
      <w:kern w:val="0"/>
      <w:sz w:val="24"/>
      <w:szCs w:val="20"/>
    </w:rPr>
  </w:style>
  <w:style w:type="paragraph" w:styleId="5">
    <w:name w:val="annotation text"/>
    <w:basedOn w:val="1"/>
    <w:link w:val="53"/>
    <w:semiHidden/>
    <w:qFormat/>
    <w:uiPriority w:val="99"/>
    <w:pPr>
      <w:jc w:val="left"/>
    </w:pPr>
  </w:style>
  <w:style w:type="paragraph" w:styleId="6">
    <w:name w:val="Body Text"/>
    <w:basedOn w:val="1"/>
    <w:qFormat/>
    <w:uiPriority w:val="0"/>
    <w:pPr>
      <w:snapToGrid w:val="0"/>
      <w:spacing w:line="440" w:lineRule="exact"/>
    </w:pPr>
    <w:rPr>
      <w:rFonts w:ascii="宋体" w:hAnsi="宋体"/>
      <w:color w:val="FF0000"/>
      <w:sz w:val="18"/>
    </w:rPr>
  </w:style>
  <w:style w:type="paragraph" w:styleId="7">
    <w:name w:val="Body Text Indent"/>
    <w:basedOn w:val="1"/>
    <w:qFormat/>
    <w:uiPriority w:val="99"/>
    <w:pPr>
      <w:spacing w:line="280" w:lineRule="exact"/>
      <w:ind w:firstLine="420"/>
    </w:pPr>
    <w:rPr>
      <w:rFonts w:ascii="宋体" w:hAnsi="宋体"/>
      <w:szCs w:val="20"/>
    </w:rPr>
  </w:style>
  <w:style w:type="paragraph" w:styleId="8">
    <w:name w:val="Balloon Text"/>
    <w:basedOn w:val="1"/>
    <w:link w:val="51"/>
    <w:semiHidden/>
    <w:qFormat/>
    <w:uiPriority w:val="99"/>
    <w:rPr>
      <w:sz w:val="18"/>
      <w:szCs w:val="18"/>
    </w:rPr>
  </w:style>
  <w:style w:type="paragraph" w:styleId="9">
    <w:name w:val="footer"/>
    <w:basedOn w:val="1"/>
    <w:link w:val="55"/>
    <w:qFormat/>
    <w:uiPriority w:val="99"/>
    <w:pPr>
      <w:tabs>
        <w:tab w:val="center" w:pos="4153"/>
        <w:tab w:val="right" w:pos="8306"/>
      </w:tabs>
      <w:snapToGrid w:val="0"/>
      <w:jc w:val="left"/>
    </w:pPr>
    <w:rPr>
      <w:sz w:val="18"/>
      <w:szCs w:val="18"/>
    </w:rPr>
  </w:style>
  <w:style w:type="paragraph" w:styleId="10">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54"/>
    <w:semiHidden/>
    <w:qFormat/>
    <w:uiPriority w:val="99"/>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99"/>
    <w:rPr>
      <w:b/>
      <w:bCs/>
    </w:rPr>
  </w:style>
  <w:style w:type="character" w:styleId="16">
    <w:name w:val="page number"/>
    <w:basedOn w:val="14"/>
    <w:qFormat/>
    <w:uiPriority w:val="99"/>
  </w:style>
  <w:style w:type="character" w:styleId="17">
    <w:name w:val="FollowedHyperlink"/>
    <w:basedOn w:val="14"/>
    <w:qFormat/>
    <w:uiPriority w:val="99"/>
    <w:rPr>
      <w:color w:val="auto"/>
      <w:u w:val="none"/>
    </w:rPr>
  </w:style>
  <w:style w:type="character" w:styleId="18">
    <w:name w:val="Emphasis"/>
    <w:basedOn w:val="14"/>
    <w:qFormat/>
    <w:uiPriority w:val="99"/>
    <w:rPr>
      <w:i/>
      <w:iCs/>
    </w:rPr>
  </w:style>
  <w:style w:type="character" w:styleId="19">
    <w:name w:val="HTML Definition"/>
    <w:basedOn w:val="14"/>
    <w:qFormat/>
    <w:uiPriority w:val="99"/>
  </w:style>
  <w:style w:type="character" w:styleId="20">
    <w:name w:val="HTML Acronym"/>
    <w:basedOn w:val="14"/>
    <w:qFormat/>
    <w:uiPriority w:val="99"/>
  </w:style>
  <w:style w:type="character" w:styleId="21">
    <w:name w:val="HTML Variable"/>
    <w:basedOn w:val="14"/>
    <w:qFormat/>
    <w:uiPriority w:val="99"/>
  </w:style>
  <w:style w:type="character" w:styleId="22">
    <w:name w:val="Hyperlink"/>
    <w:basedOn w:val="14"/>
    <w:qFormat/>
    <w:uiPriority w:val="99"/>
    <w:rPr>
      <w:color w:val="auto"/>
      <w:u w:val="none"/>
    </w:rPr>
  </w:style>
  <w:style w:type="character" w:styleId="23">
    <w:name w:val="HTML Code"/>
    <w:basedOn w:val="14"/>
    <w:qFormat/>
    <w:uiPriority w:val="99"/>
    <w:rPr>
      <w:rFonts w:ascii="monospace" w:hAnsi="monospace" w:eastAsia="Times New Roman" w:cs="monospace"/>
      <w:sz w:val="24"/>
      <w:szCs w:val="24"/>
    </w:rPr>
  </w:style>
  <w:style w:type="character" w:styleId="24">
    <w:name w:val="annotation reference"/>
    <w:basedOn w:val="14"/>
    <w:semiHidden/>
    <w:qFormat/>
    <w:uiPriority w:val="99"/>
    <w:rPr>
      <w:sz w:val="21"/>
      <w:szCs w:val="21"/>
    </w:rPr>
  </w:style>
  <w:style w:type="character" w:styleId="25">
    <w:name w:val="HTML Cite"/>
    <w:basedOn w:val="14"/>
    <w:qFormat/>
    <w:uiPriority w:val="99"/>
  </w:style>
  <w:style w:type="character" w:styleId="26">
    <w:name w:val="HTML Keyboard"/>
    <w:basedOn w:val="14"/>
    <w:qFormat/>
    <w:uiPriority w:val="99"/>
    <w:rPr>
      <w:rFonts w:ascii="monospace" w:hAnsi="monospace" w:eastAsia="Times New Roman" w:cs="monospace"/>
      <w:sz w:val="24"/>
      <w:szCs w:val="24"/>
    </w:rPr>
  </w:style>
  <w:style w:type="character" w:styleId="27">
    <w:name w:val="HTML Sample"/>
    <w:basedOn w:val="14"/>
    <w:qFormat/>
    <w:uiPriority w:val="99"/>
    <w:rPr>
      <w:rFonts w:ascii="monospace" w:hAnsi="monospace" w:eastAsia="Times New Roman" w:cs="monospace"/>
      <w:sz w:val="24"/>
      <w:szCs w:val="24"/>
    </w:rPr>
  </w:style>
  <w:style w:type="character" w:customStyle="1" w:styleId="28">
    <w:name w:val="标题 1 Char"/>
    <w:basedOn w:val="14"/>
    <w:link w:val="2"/>
    <w:qFormat/>
    <w:uiPriority w:val="9"/>
    <w:rPr>
      <w:b/>
      <w:bCs/>
      <w:kern w:val="44"/>
      <w:sz w:val="44"/>
      <w:szCs w:val="44"/>
    </w:rPr>
  </w:style>
  <w:style w:type="character" w:customStyle="1" w:styleId="29">
    <w:name w:val="bds_more1"/>
    <w:basedOn w:val="14"/>
    <w:qFormat/>
    <w:uiPriority w:val="99"/>
  </w:style>
  <w:style w:type="character" w:customStyle="1" w:styleId="30">
    <w:name w:val="org_name2"/>
    <w:basedOn w:val="14"/>
    <w:qFormat/>
    <w:uiPriority w:val="99"/>
  </w:style>
  <w:style w:type="character" w:customStyle="1" w:styleId="31">
    <w:name w:val="no5"/>
    <w:basedOn w:val="14"/>
    <w:qFormat/>
    <w:uiPriority w:val="99"/>
  </w:style>
  <w:style w:type="character" w:customStyle="1" w:styleId="32">
    <w:name w:val="Comment Text Char"/>
    <w:basedOn w:val="14"/>
    <w:qFormat/>
    <w:locked/>
    <w:uiPriority w:val="99"/>
    <w:rPr>
      <w:kern w:val="2"/>
      <w:sz w:val="24"/>
      <w:szCs w:val="24"/>
    </w:rPr>
  </w:style>
  <w:style w:type="character" w:customStyle="1" w:styleId="33">
    <w:name w:val="bds_nopic"/>
    <w:basedOn w:val="14"/>
    <w:qFormat/>
    <w:uiPriority w:val="99"/>
  </w:style>
  <w:style w:type="character" w:customStyle="1" w:styleId="34">
    <w:name w:val="bds_more"/>
    <w:basedOn w:val="14"/>
    <w:qFormat/>
    <w:uiPriority w:val="99"/>
  </w:style>
  <w:style w:type="character" w:customStyle="1" w:styleId="35">
    <w:name w:val="ui-bz-bg-hover"/>
    <w:basedOn w:val="14"/>
    <w:qFormat/>
    <w:uiPriority w:val="99"/>
    <w:rPr>
      <w:shd w:val="clear" w:color="auto" w:fill="000000"/>
    </w:rPr>
  </w:style>
  <w:style w:type="character" w:customStyle="1" w:styleId="36">
    <w:name w:val="f-star"/>
    <w:basedOn w:val="14"/>
    <w:qFormat/>
    <w:uiPriority w:val="99"/>
    <w:rPr>
      <w:color w:val="auto"/>
      <w:sz w:val="21"/>
      <w:szCs w:val="21"/>
    </w:rPr>
  </w:style>
  <w:style w:type="character" w:customStyle="1" w:styleId="37">
    <w:name w:val="ui-bz-bg-hover1"/>
    <w:basedOn w:val="14"/>
    <w:qFormat/>
    <w:uiPriority w:val="99"/>
  </w:style>
  <w:style w:type="character" w:customStyle="1" w:styleId="38">
    <w:name w:val="my-class2"/>
    <w:basedOn w:val="14"/>
    <w:qFormat/>
    <w:uiPriority w:val="99"/>
  </w:style>
  <w:style w:type="character" w:customStyle="1" w:styleId="39">
    <w:name w:val="orange"/>
    <w:basedOn w:val="14"/>
    <w:qFormat/>
    <w:uiPriority w:val="99"/>
    <w:rPr>
      <w:color w:val="auto"/>
    </w:rPr>
  </w:style>
  <w:style w:type="character" w:customStyle="1" w:styleId="40">
    <w:name w:val="no42"/>
    <w:basedOn w:val="14"/>
    <w:qFormat/>
    <w:uiPriority w:val="99"/>
  </w:style>
  <w:style w:type="character" w:customStyle="1" w:styleId="41">
    <w:name w:val="bds_nopic2"/>
    <w:basedOn w:val="14"/>
    <w:qFormat/>
    <w:uiPriority w:val="99"/>
  </w:style>
  <w:style w:type="character" w:customStyle="1" w:styleId="42">
    <w:name w:val="no72"/>
    <w:basedOn w:val="14"/>
    <w:qFormat/>
    <w:uiPriority w:val="99"/>
  </w:style>
  <w:style w:type="character" w:customStyle="1" w:styleId="43">
    <w:name w:val="tip"/>
    <w:basedOn w:val="14"/>
    <w:qFormat/>
    <w:uiPriority w:val="99"/>
    <w:rPr>
      <w:vanish/>
      <w:color w:val="FF0000"/>
      <w:sz w:val="18"/>
      <w:szCs w:val="18"/>
    </w:rPr>
  </w:style>
  <w:style w:type="character" w:customStyle="1" w:styleId="44">
    <w:name w:val="bds_nopic1"/>
    <w:basedOn w:val="14"/>
    <w:qFormat/>
    <w:uiPriority w:val="99"/>
  </w:style>
  <w:style w:type="character" w:customStyle="1" w:styleId="45">
    <w:name w:val="no62"/>
    <w:basedOn w:val="14"/>
    <w:qFormat/>
    <w:uiPriority w:val="99"/>
  </w:style>
  <w:style w:type="character" w:customStyle="1" w:styleId="46">
    <w:name w:val="my-notice1"/>
    <w:basedOn w:val="14"/>
    <w:qFormat/>
    <w:uiPriority w:val="99"/>
  </w:style>
  <w:style w:type="character" w:customStyle="1" w:styleId="47">
    <w:name w:val="Comment Subject Char"/>
    <w:basedOn w:val="32"/>
    <w:qFormat/>
    <w:locked/>
    <w:uiPriority w:val="99"/>
    <w:rPr>
      <w:b/>
      <w:bCs/>
      <w:kern w:val="2"/>
      <w:sz w:val="24"/>
      <w:szCs w:val="24"/>
    </w:rPr>
  </w:style>
  <w:style w:type="character" w:customStyle="1" w:styleId="48">
    <w:name w:val="top-icon"/>
    <w:basedOn w:val="14"/>
    <w:qFormat/>
    <w:uiPriority w:val="99"/>
  </w:style>
  <w:style w:type="character" w:customStyle="1" w:styleId="49">
    <w:name w:val="t-tag"/>
    <w:basedOn w:val="14"/>
    <w:qFormat/>
    <w:uiPriority w:val="99"/>
    <w:rPr>
      <w:color w:val="FFFFFF"/>
      <w:sz w:val="18"/>
      <w:szCs w:val="18"/>
      <w:shd w:val="clear" w:color="auto" w:fill="auto"/>
    </w:rPr>
  </w:style>
  <w:style w:type="character" w:customStyle="1" w:styleId="50">
    <w:name w:val="Balloon Text Char"/>
    <w:basedOn w:val="14"/>
    <w:qFormat/>
    <w:locked/>
    <w:uiPriority w:val="99"/>
    <w:rPr>
      <w:kern w:val="2"/>
      <w:sz w:val="18"/>
      <w:szCs w:val="18"/>
    </w:rPr>
  </w:style>
  <w:style w:type="character" w:customStyle="1" w:styleId="51">
    <w:name w:val="批注框文本 Char"/>
    <w:basedOn w:val="14"/>
    <w:link w:val="8"/>
    <w:semiHidden/>
    <w:qFormat/>
    <w:uiPriority w:val="99"/>
    <w:rPr>
      <w:sz w:val="0"/>
      <w:szCs w:val="0"/>
    </w:rPr>
  </w:style>
  <w:style w:type="character" w:customStyle="1" w:styleId="52">
    <w:name w:val="页眉 Char"/>
    <w:basedOn w:val="14"/>
    <w:link w:val="10"/>
    <w:semiHidden/>
    <w:qFormat/>
    <w:uiPriority w:val="99"/>
    <w:rPr>
      <w:sz w:val="18"/>
      <w:szCs w:val="18"/>
    </w:rPr>
  </w:style>
  <w:style w:type="character" w:customStyle="1" w:styleId="53">
    <w:name w:val="批注文字 Char"/>
    <w:basedOn w:val="14"/>
    <w:link w:val="5"/>
    <w:semiHidden/>
    <w:qFormat/>
    <w:uiPriority w:val="99"/>
    <w:rPr>
      <w:szCs w:val="21"/>
    </w:rPr>
  </w:style>
  <w:style w:type="character" w:customStyle="1" w:styleId="54">
    <w:name w:val="批注主题 Char"/>
    <w:basedOn w:val="32"/>
    <w:link w:val="11"/>
    <w:semiHidden/>
    <w:qFormat/>
    <w:uiPriority w:val="99"/>
    <w:rPr>
      <w:b/>
      <w:bCs/>
      <w:kern w:val="2"/>
      <w:sz w:val="24"/>
      <w:szCs w:val="21"/>
    </w:rPr>
  </w:style>
  <w:style w:type="character" w:customStyle="1" w:styleId="55">
    <w:name w:val="页脚 Char"/>
    <w:basedOn w:val="14"/>
    <w:link w:val="9"/>
    <w:semiHidden/>
    <w:qFormat/>
    <w:uiPriority w:val="99"/>
    <w:rPr>
      <w:sz w:val="18"/>
      <w:szCs w:val="18"/>
    </w:rPr>
  </w:style>
  <w:style w:type="paragraph" w:customStyle="1" w:styleId="56">
    <w:name w:val="Char"/>
    <w:basedOn w:val="1"/>
    <w:qFormat/>
    <w:uiPriority w:val="99"/>
    <w:pPr>
      <w:widowControl/>
      <w:spacing w:after="160" w:line="240" w:lineRule="exact"/>
      <w:jc w:val="left"/>
    </w:pPr>
  </w:style>
  <w:style w:type="paragraph" w:customStyle="1" w:styleId="57">
    <w:name w:val="Char1"/>
    <w:basedOn w:val="1"/>
    <w:qFormat/>
    <w:uiPriority w:val="99"/>
    <w:pPr>
      <w:widowControl/>
      <w:spacing w:after="160" w:line="240" w:lineRule="exact"/>
      <w:jc w:val="left"/>
    </w:pPr>
  </w:style>
  <w:style w:type="paragraph" w:customStyle="1" w:styleId="58">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150</Words>
  <Characters>856</Characters>
  <Lines>7</Lines>
  <Paragraphs>2</Paragraphs>
  <TotalTime>0</TotalTime>
  <ScaleCrop>false</ScaleCrop>
  <LinksUpToDate>false</LinksUpToDate>
  <CharactersWithSpaces>1004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2019-06-19T08:47:00Z</dcterms:created>
  <dc:creator>User</dc:creator>
  <cp:lastModifiedBy>我就是那棵树</cp:lastModifiedBy>
  <cp:lastPrinted>2019-01-25T07:39:00Z</cp:lastPrinted>
  <dcterms:modified xsi:type="dcterms:W3CDTF">2026-01-07T07:45:10Z</dcterms:modified>
  <dc:title>资料一：送审稿</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9073661EAA1145E9905FD25981BB63D1</vt:lpwstr>
  </property>
</Properties>
</file>