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政府网站工作年度报表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7"/>
          <w:rFonts w:hint="default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（2018年度）</w:t>
      </w:r>
    </w:p>
    <w:p>
      <w:pPr>
        <w:widowControl/>
        <w:shd w:val="clear" w:color="auto" w:fill="FFFFFF"/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</w:rPr>
      </w:pP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</w:rPr>
        <w:t>填报单位:六安市工商行政和质量技术监督管理局</w:t>
      </w:r>
    </w:p>
    <w:tbl>
      <w:tblPr>
        <w:tblStyle w:val="5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2805"/>
        <w:gridCol w:w="1815"/>
        <w:gridCol w:w="209"/>
        <w:gridCol w:w="209"/>
        <w:gridCol w:w="166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网站名称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首页网址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http://gszj.luan.gov.cn</w:t>
            </w:r>
            <w:bookmarkStart w:id="0" w:name="_GoBack"/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主办单位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六安市工商行政和质量技术监督管理局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网站类型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□政府门户网站   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部门网站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□专项网站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政府网站标识码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3415000037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ICP备案号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皖ICP备11015645号-1</w:t>
            </w: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公安机关备案号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皖公网安备 34150102000132号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独立用户访问总量（单位：个）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639347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网站总访问量（单位：次）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4539361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信息发布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1588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概况类信息更新量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政务动态信息更新量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1034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信息公开目录信息更新量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549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专栏专题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维护数量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新开设数量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解读回应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解读信息发布</w:t>
            </w: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解读材料数量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解读产品数量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1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媒体评论文章数量（单位：篇）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重大舆情数量（单位：次）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办事服务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是否发布服务事项目录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注册用户数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92491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146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可全程在线办理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（单位：项）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80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办件量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（单位：件）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总数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6231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自然人办件量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法人办件量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3221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互动交流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是否使用统一平台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留言办理</w:t>
            </w: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收到留言数量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124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办结留言数量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平均办理时间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（单位：天）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公开答复数量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征集调查</w:t>
            </w: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征集调查期数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收到意见数量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公布调查结果期数（单位：期）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在线访谈</w:t>
            </w: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访谈期数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（单位：期）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网民留言数量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答复网民提问数量（单位：条）</w:t>
            </w:r>
          </w:p>
        </w:tc>
        <w:tc>
          <w:tcPr>
            <w:tcW w:w="180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是否提供智能问答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安全防护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（单位：次）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发现问题数量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问题整改数量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是否建立安全监测预警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机制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是否开展应急演练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是否明确网站安全责任人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移动新媒体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是否有移动新媒体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是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   □否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微  博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六安市工商质监局发布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信息发布量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53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关注量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221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微  信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六安市工商质监局发布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信息发布量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（单位：条）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157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订阅数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（单位：个）</w:t>
            </w:r>
          </w:p>
        </w:tc>
        <w:tc>
          <w:tcPr>
            <w:tcW w:w="199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1500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其  他</w:t>
            </w:r>
          </w:p>
        </w:tc>
        <w:tc>
          <w:tcPr>
            <w:tcW w:w="382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移动政务客户端（六安市政府APP）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创新发展</w:t>
            </w:r>
          </w:p>
        </w:tc>
        <w:tc>
          <w:tcPr>
            <w:tcW w:w="66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搜索即服务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□多语言版本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无障碍浏览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 </w:t>
            </w: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</w:rPr>
              <w:t>千人千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网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☑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其他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u w:val="single"/>
              </w:rPr>
              <w:t>  智能搜索，多渠道拓展                                           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  <w:u w:val="single"/>
              </w:rPr>
              <w:t>   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7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8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</w:rPr>
        <w:t>单位负责人：程刚           审核人：沈俊           填报人：张文阳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</w:rPr>
        <w:t>联系电话：0564-3328292                             填报日期：2019-01-09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备注：“办事服务—注册用户数”为安徽省政务服务网六安分厅全部注册用户数。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3CD5"/>
    <w:rsid w:val="000617D7"/>
    <w:rsid w:val="006C3CD5"/>
    <w:rsid w:val="7BA9F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214</Words>
  <Characters>1225</Characters>
  <Lines>10</Lines>
  <Paragraphs>2</Paragraphs>
  <TotalTime>0</TotalTime>
  <ScaleCrop>false</ScaleCrop>
  <LinksUpToDate>false</LinksUpToDate>
  <CharactersWithSpaces>1437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2021-01-15T11:46:00Z</dcterms:created>
  <dc:creator>微软用户</dc:creator>
  <cp:lastModifiedBy>administrator</cp:lastModifiedBy>
  <dcterms:modified xsi:type="dcterms:W3CDTF">2023-12-25T11:04:00Z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