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p>
    <w:p>
      <w:pPr>
        <w:snapToGrid w:val="0"/>
        <w:spacing w:line="44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机动车润滑油产品质量监督抽查实施细则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1.适用范围</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本细则适用于</w:t>
      </w:r>
      <w:r>
        <w:rPr>
          <w:rFonts w:hint="eastAsia" w:ascii="仿宋_GB2312" w:hAnsi="仿宋_GB2312" w:eastAsia="仿宋_GB2312" w:cs="仿宋_GB2312"/>
          <w:sz w:val="32"/>
          <w:szCs w:val="32"/>
          <w:lang w:eastAsia="zh-CN"/>
        </w:rPr>
        <w:t>六安</w:t>
      </w:r>
      <w:r>
        <w:rPr>
          <w:rFonts w:hint="eastAsia" w:ascii="仿宋_GB2312" w:hAnsi="仿宋_GB2312" w:eastAsia="仿宋_GB2312" w:cs="仿宋_GB2312"/>
          <w:sz w:val="32"/>
          <w:szCs w:val="32"/>
        </w:rPr>
        <w:t>市市场监督管理部门组织的生产领域和流通领域机动车润滑油产品质量监督抽查。本实施细则内容包括产品种类、检验依据、抽样、检验要求、安全、判定原则、异议处理复检及附则。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2.产品种类</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机动车润滑油可分为：汽油机油、柴油机油、农用柴油机油、风冷二冲程汽油机油、重负荷车辆齿轮油(GL-5)、普通开式齿轮油、普通车辆齿轮油、空气压缩机油、L-AN 全损耗系统用油、工业闭式齿轮油、润滑剂、工业用油和相关产品（L类）-E组（内燃机油）一二冲程汽油发动机油（EGB、EGC和EGD）、涡轮机油、矿物油型真空泵油、中负荷车辆辆齿轮油。安庆市市级抽查主要抽查汽油机油和柴油机油两种规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3.检验依据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下列文件凡是注明日期的，其随后所有的修改单或修订版均不适用于本细则。凡是不注明日期的，其最新版本适用于本细则。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汽油机油 GB 11121</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柴油机油 GB 11122</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经备案现行有效的企业标准及产品明示质量要求</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4.抽样</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抽样方法</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按照随机抽样的方法，在生产企业或经销企业抽取同一品种、同一规格、同一批次的样品。</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抽样方法、基数及数量</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抽取2升或2听（桶）（至少2升）为样本,分作两份,一份作为检验样品，一份作为备用样品。样品全部带回承检机构。</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样品处置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 对抽取的样品，由抽样人与被抽查企业相关人员签字，当场封样，为保证样品的真实性，要有相应的防拆封措施，并保证封条在运输过程中不会破损。应对抽样的关键过程进行拍照。</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 抽取的样品按运输条件包装好，由抽样小组带回检验机构，运输时严防雨淋、日晒、受潮。装卸时轻搬轻放，严禁掷抛。备用样品封存在检验机构，贮存时注意防晒、防雨淋、防潮。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4.3.3 检验机构应按经销企业提供的信息填写抽样单，让生产企业或经销企业签字盖章。</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抽样单</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应按有关规定填写抽样单，并记录被抽查样品及企业相关信息。</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5.检验项目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检验项目及重要程度分类</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检验项目及重要程度分类见表1～表2。</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p>
    <w:p>
      <w:pPr>
        <w:spacing w:line="360" w:lineRule="exact"/>
        <w:ind w:right="11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 汽油机油</w:t>
      </w:r>
    </w:p>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399"/>
        <w:gridCol w:w="2111"/>
        <w:gridCol w:w="1739"/>
        <w:gridCol w:w="1738"/>
        <w:gridCol w:w="878"/>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blHeader/>
          <w:jc w:val="center"/>
        </w:trPr>
        <w:tc>
          <w:tcPr>
            <w:tcW w:w="564"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序号</w:t>
            </w:r>
          </w:p>
        </w:tc>
        <w:tc>
          <w:tcPr>
            <w:tcW w:w="1399"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检验项目</w:t>
            </w:r>
          </w:p>
        </w:tc>
        <w:tc>
          <w:tcPr>
            <w:tcW w:w="2111"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sz w:val="22"/>
                <w:szCs w:val="22"/>
              </w:rPr>
            </w:pPr>
            <w:r>
              <w:rPr>
                <w:rFonts w:hint="eastAsia" w:ascii="宋体" w:hAnsi="宋体" w:eastAsia="宋体" w:cs="宋体"/>
                <w:kern w:val="0"/>
                <w:sz w:val="22"/>
                <w:szCs w:val="22"/>
              </w:rPr>
              <w:t>依据法律法规或标准条款</w:t>
            </w:r>
          </w:p>
        </w:tc>
        <w:tc>
          <w:tcPr>
            <w:tcW w:w="1739"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强制性/</w:t>
            </w:r>
          </w:p>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推荐性</w:t>
            </w:r>
          </w:p>
        </w:tc>
        <w:tc>
          <w:tcPr>
            <w:tcW w:w="1738"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检验方法标准</w:t>
            </w:r>
          </w:p>
        </w:tc>
        <w:tc>
          <w:tcPr>
            <w:tcW w:w="17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重要程度</w:t>
            </w:r>
          </w:p>
          <w:p>
            <w:pPr>
              <w:snapToGrid w:val="0"/>
              <w:jc w:val="center"/>
              <w:rPr>
                <w:rFonts w:hint="eastAsia" w:ascii="宋体" w:hAnsi="宋体" w:eastAsia="宋体" w:cs="宋体"/>
                <w:sz w:val="22"/>
                <w:szCs w:val="22"/>
              </w:rPr>
            </w:pPr>
            <w:r>
              <w:rPr>
                <w:rFonts w:hint="eastAsia" w:ascii="宋体" w:hAnsi="宋体" w:eastAsia="宋体" w:cs="宋体"/>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blHeader/>
          <w:jc w:val="center"/>
        </w:trPr>
        <w:tc>
          <w:tcPr>
            <w:tcW w:w="564"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2"/>
                <w:szCs w:val="22"/>
              </w:rPr>
            </w:pPr>
          </w:p>
        </w:tc>
        <w:tc>
          <w:tcPr>
            <w:tcW w:w="1399"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2"/>
                <w:szCs w:val="22"/>
              </w:rPr>
            </w:pPr>
          </w:p>
        </w:tc>
        <w:tc>
          <w:tcPr>
            <w:tcW w:w="2111"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2"/>
                <w:szCs w:val="22"/>
              </w:rPr>
            </w:pPr>
          </w:p>
        </w:tc>
        <w:tc>
          <w:tcPr>
            <w:tcW w:w="1739"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2"/>
                <w:szCs w:val="22"/>
              </w:rPr>
            </w:pPr>
          </w:p>
        </w:tc>
        <w:tc>
          <w:tcPr>
            <w:tcW w:w="1738"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2"/>
                <w:szCs w:val="22"/>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A类</w:t>
            </w:r>
            <w:r>
              <w:rPr>
                <w:rFonts w:hint="eastAsia" w:ascii="宋体" w:hAnsi="宋体" w:eastAsia="宋体" w:cs="宋体"/>
                <w:kern w:val="0"/>
                <w:sz w:val="22"/>
                <w:szCs w:val="22"/>
                <w:vertAlign w:val="superscript"/>
              </w:rPr>
              <w:t>a</w:t>
            </w:r>
          </w:p>
        </w:tc>
        <w:tc>
          <w:tcPr>
            <w:tcW w:w="8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B类</w:t>
            </w:r>
            <w:r>
              <w:rPr>
                <w:rFonts w:hint="eastAsia" w:ascii="宋体" w:hAnsi="宋体" w:eastAsia="宋体" w:cs="宋体"/>
                <w:kern w:val="0"/>
                <w:sz w:val="22"/>
                <w:szCs w:val="2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1</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运动黏度</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11121</w:t>
            </w:r>
          </w:p>
        </w:tc>
        <w:tc>
          <w:tcPr>
            <w:tcW w:w="173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3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265</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2</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黏度指数</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11121</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3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1995</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GB/T 2541</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3</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倾点</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11121</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3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3535</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4</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水分</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11121</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3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260</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5</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泡沫性</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11121</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3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12579</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6</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机械杂质</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11121</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3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511</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7</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闪点（开口）</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11121</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3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3536</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bl>
    <w:p>
      <w:pPr>
        <w:spacing w:line="360" w:lineRule="exact"/>
        <w:ind w:left="113" w:right="113" w:firstLine="480"/>
        <w:jc w:val="both"/>
        <w:rPr>
          <w:rFonts w:hint="eastAsia" w:ascii="宋体" w:hAnsi="宋体" w:eastAsia="宋体" w:cs="宋体"/>
          <w:sz w:val="22"/>
          <w:szCs w:val="22"/>
        </w:rPr>
      </w:pPr>
    </w:p>
    <w:p>
      <w:pPr>
        <w:spacing w:line="360" w:lineRule="exact"/>
        <w:ind w:right="11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 柴油机油</w:t>
      </w:r>
    </w:p>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62"/>
        <w:gridCol w:w="2113"/>
        <w:gridCol w:w="1712"/>
        <w:gridCol w:w="1712"/>
        <w:gridCol w:w="858"/>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blHeader/>
          <w:jc w:val="center"/>
        </w:trPr>
        <w:tc>
          <w:tcPr>
            <w:tcW w:w="69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bookmarkStart w:id="0" w:name="_GoBack" w:colFirst="0" w:colLast="6"/>
            <w:r>
              <w:rPr>
                <w:rFonts w:hint="eastAsia" w:ascii="宋体" w:hAnsi="宋体" w:eastAsia="宋体" w:cs="宋体"/>
                <w:sz w:val="22"/>
                <w:szCs w:val="22"/>
              </w:rPr>
              <w:t>序号</w:t>
            </w:r>
          </w:p>
        </w:tc>
        <w:tc>
          <w:tcPr>
            <w:tcW w:w="1362"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检验项目</w:t>
            </w:r>
          </w:p>
        </w:tc>
        <w:tc>
          <w:tcPr>
            <w:tcW w:w="2113"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sz w:val="22"/>
                <w:szCs w:val="22"/>
              </w:rPr>
            </w:pPr>
            <w:r>
              <w:rPr>
                <w:rFonts w:hint="eastAsia" w:ascii="宋体" w:hAnsi="宋体" w:eastAsia="宋体" w:cs="宋体"/>
                <w:kern w:val="0"/>
                <w:sz w:val="22"/>
                <w:szCs w:val="22"/>
              </w:rPr>
              <w:t>依据法律法规或标准条款</w:t>
            </w:r>
          </w:p>
        </w:tc>
        <w:tc>
          <w:tcPr>
            <w:tcW w:w="1712"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强制性/</w:t>
            </w:r>
          </w:p>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推荐性</w:t>
            </w:r>
          </w:p>
        </w:tc>
        <w:tc>
          <w:tcPr>
            <w:tcW w:w="1712"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检验方法标准</w:t>
            </w:r>
          </w:p>
        </w:tc>
        <w:tc>
          <w:tcPr>
            <w:tcW w:w="16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重要程度</w:t>
            </w:r>
          </w:p>
          <w:p>
            <w:pPr>
              <w:snapToGrid w:val="0"/>
              <w:jc w:val="center"/>
              <w:rPr>
                <w:rFonts w:hint="eastAsia" w:ascii="宋体" w:hAnsi="宋体" w:eastAsia="宋体" w:cs="宋体"/>
                <w:sz w:val="22"/>
                <w:szCs w:val="22"/>
              </w:rPr>
            </w:pPr>
            <w:r>
              <w:rPr>
                <w:rFonts w:hint="eastAsia" w:ascii="宋体" w:hAnsi="宋体" w:eastAsia="宋体" w:cs="宋体"/>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blHeader/>
          <w:jc w:val="center"/>
        </w:trPr>
        <w:tc>
          <w:tcPr>
            <w:tcW w:w="69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p>
        </w:tc>
        <w:tc>
          <w:tcPr>
            <w:tcW w:w="136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p>
        </w:tc>
        <w:tc>
          <w:tcPr>
            <w:tcW w:w="211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p>
        </w:tc>
        <w:tc>
          <w:tcPr>
            <w:tcW w:w="171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p>
        </w:tc>
        <w:tc>
          <w:tcPr>
            <w:tcW w:w="171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2"/>
                <w:szCs w:val="22"/>
              </w:rPr>
            </w:pPr>
          </w:p>
        </w:tc>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2"/>
                <w:szCs w:val="22"/>
              </w:rPr>
            </w:pPr>
            <w:r>
              <w:rPr>
                <w:rFonts w:hint="eastAsia" w:ascii="宋体" w:hAnsi="宋体" w:eastAsia="宋体" w:cs="宋体"/>
                <w:kern w:val="0"/>
                <w:sz w:val="22"/>
                <w:szCs w:val="22"/>
              </w:rPr>
              <w:t>A类</w:t>
            </w:r>
            <w:r>
              <w:rPr>
                <w:rFonts w:hint="eastAsia" w:ascii="宋体" w:hAnsi="宋体" w:eastAsia="宋体" w:cs="宋体"/>
                <w:kern w:val="0"/>
                <w:sz w:val="22"/>
                <w:szCs w:val="22"/>
                <w:vertAlign w:val="superscript"/>
              </w:rPr>
              <w:t>a</w:t>
            </w:r>
          </w:p>
        </w:tc>
        <w:tc>
          <w:tcPr>
            <w:tcW w:w="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2"/>
                <w:szCs w:val="22"/>
              </w:rPr>
            </w:pPr>
            <w:r>
              <w:rPr>
                <w:rFonts w:hint="eastAsia" w:ascii="宋体" w:hAnsi="宋体" w:eastAsia="宋体" w:cs="宋体"/>
                <w:kern w:val="0"/>
                <w:sz w:val="22"/>
                <w:szCs w:val="22"/>
              </w:rPr>
              <w:t>B类</w:t>
            </w:r>
            <w:r>
              <w:rPr>
                <w:rFonts w:hint="eastAsia" w:ascii="宋体" w:hAnsi="宋体" w:eastAsia="宋体" w:cs="宋体"/>
                <w:kern w:val="0"/>
                <w:sz w:val="22"/>
                <w:szCs w:val="22"/>
                <w:vertAlign w:val="superscript"/>
              </w:rPr>
              <w:t>b</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运动黏度</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11122</w:t>
            </w:r>
          </w:p>
        </w:tc>
        <w:tc>
          <w:tcPr>
            <w:tcW w:w="171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265</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黏度指数</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11122</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1995</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GB/T 2541</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倾点</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11122</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3535</w:t>
            </w:r>
          </w:p>
        </w:tc>
        <w:tc>
          <w:tcPr>
            <w:tcW w:w="8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color w:val="000000"/>
                <w:kern w:val="0"/>
                <w:sz w:val="22"/>
                <w:szCs w:val="22"/>
                <w:lang w:bidi="ar"/>
              </w:rPr>
            </w:pPr>
          </w:p>
        </w:tc>
        <w:tc>
          <w:tcPr>
            <w:tcW w:w="841"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水分</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11122</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260</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泡沫性</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11122</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12579</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机械杂质</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11122</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511</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闪点（开口）</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sz w:val="22"/>
                <w:szCs w:val="22"/>
              </w:rPr>
              <w:t>GB 11122</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kern w:val="0"/>
                <w:sz w:val="22"/>
                <w:szCs w:val="22"/>
              </w:rPr>
              <w:t>强制性</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GB/T 3536</w:t>
            </w:r>
          </w:p>
        </w:tc>
        <w:tc>
          <w:tcPr>
            <w:tcW w:w="8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color w:val="000000"/>
                <w:kern w:val="0"/>
                <w:sz w:val="22"/>
                <w:szCs w:val="22"/>
                <w:lang w:bidi="ar"/>
              </w:rPr>
            </w:pPr>
          </w:p>
        </w:tc>
        <w:tc>
          <w:tcPr>
            <w:tcW w:w="841"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color w:val="000000"/>
                <w:kern w:val="0"/>
                <w:sz w:val="22"/>
                <w:szCs w:val="22"/>
                <w:lang w:bidi="ar"/>
              </w:rPr>
            </w:pPr>
            <w:r>
              <w:rPr>
                <w:rFonts w:hint="eastAsia" w:ascii="宋体" w:hAnsi="宋体" w:eastAsia="宋体" w:cs="宋体"/>
                <w:kern w:val="0"/>
                <w:sz w:val="22"/>
                <w:szCs w:val="22"/>
              </w:rPr>
              <w:t>●</w:t>
            </w:r>
          </w:p>
        </w:tc>
      </w:tr>
    </w:tbl>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注：a（A类）：极重要质量项目，b（B类）：重要质量项目。极重要质量项目是指直接涉及人体健康、使用安全的指标；重要质量项目是指产品涉及环保、能效、关键性能或特征值的指标。</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5.2检验应注意的问题</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5.2.1检验机构接收样品应当有专人负责检查、记录样品的外观、状态、封条有无破损及其它可能对检测结果或者综合判定产生影响的情况，应对关键过程进行拍照，并确认样品与抽样单的记录是否相符，对检验样品和备用样品分别加贴相应标识后入库。备用样品应该贮存在阴凉、干燥、安全、避光处，在整个保存期间应保证签封完整无损。</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5.2.2检验过程中遇有样品失效或者其它情况致使检验无法进行时，必须如实记录即时情况，并有充分的证实材料。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5.2.3若被检样品明示的质量要求高于本细则中检验项目依据的标准要求时，应按被检样品明示的质量要求判定。若被检样品明示的质量要求低于本细则中检验项目依据的强制性标准要求时，应按照强制性标准要求判定。若被检样品明示的质量要求低于或包含细则中检验项目依据的推荐性标准要求时，应以被检样品明示的质量要求判定。若被检样品明示的质量要求缺少本细则中检验项目依据的强制性标准要求时，应按照强制性标准要求判定。若被检样品明示的质量要求缺少本细则中检验项目依据的推荐性标准要求时，该项目不参与判定，但应在检验报告备注中进行说明。</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5.2.4 因样品具有吸湿特性，样品开启后宜尽快进行检验。</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6.安全</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样品的运输和贮存严格遵守国家的有关产品及消防的安全条例。</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7.判定原则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7.1经检验，所抽取样品实物质量合格时，综合判定该批产品合格。检验结论：经抽样检验，所检项目符合××标准，依据××抽查实施细则，判定为合格。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7.2经检验，所抽取样品实物质量不合格时，综合判定该批产品不合格。判定该批产品不合格。当产品存在 A 类项目不合格时，属于严重不合格；当产品存在B类项目不合格时，属于较严重不合格。检验结论：经抽样检验，××项目不符合××标准，依据××抽查实施细则，判定为不合格（属于××严重不合格）。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8.异议处理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对判定不合格产品进行复检时，按以下方式进行：</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8.1被抽查单位对检验结果有异议的，可在收到报告或检验结果通知单之日起十五日内书面向组织单位提出，由组织单位负责处理。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核查不合格项目相关证据，能够以记录（纸质记录或电子记录或影像记录）、检验后缺陷特征样品、与不合格质量数据相关联的其它质量数据等检验证据证明，并得到申请复检者认可的，作出维持原检验结论的复检结论。</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8.3需对不合格项目复检时，采用备用样品进行检验。当复检结果仍不合格，维持原检验结果不变。当复检结果合格，以复检结果为准。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9.附则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本细则编制单位：皖西南产品质量监督检验中心。</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本细则由</w:t>
      </w:r>
      <w:r>
        <w:rPr>
          <w:rFonts w:hint="eastAsia" w:ascii="仿宋_GB2312" w:hAnsi="仿宋_GB2312" w:eastAsia="仿宋_GB2312" w:cs="仿宋_GB2312"/>
          <w:sz w:val="32"/>
          <w:szCs w:val="32"/>
          <w:lang w:eastAsia="zh-CN"/>
        </w:rPr>
        <w:t>六安</w:t>
      </w:r>
      <w:r>
        <w:rPr>
          <w:rFonts w:hint="eastAsia" w:ascii="仿宋_GB2312" w:hAnsi="仿宋_GB2312" w:eastAsia="仿宋_GB2312" w:cs="仿宋_GB2312"/>
          <w:sz w:val="32"/>
          <w:szCs w:val="32"/>
        </w:rPr>
        <w:t>市市场监督管理局管理。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_5b8b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B6029"/>
    <w:rsid w:val="5C0C2EB1"/>
    <w:rsid w:val="666B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2021-12-31T07:37:00Z</dcterms:created>
  <dc:creator>gyb1</dc:creator>
  <cp:lastModifiedBy>gyb1</cp:lastModifiedBy>
  <dcterms:modified xsi:type="dcterms:W3CDTF">2021-12-31T07:50:02Z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