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exact"/>
        <w:ind w:left="-187" w:leftChars="-85" w:right="-148"/>
        <w:jc w:val="left"/>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附件4</w:t>
      </w:r>
    </w:p>
    <w:p>
      <w:pPr>
        <w:jc w:val="center"/>
        <w:rPr>
          <w:rFonts w:hint="eastAsia" w:ascii="宋体" w:hAnsi="宋体" w:eastAsia="宋体" w:cs="宋体"/>
          <w:sz w:val="44"/>
          <w:szCs w:val="44"/>
        </w:rPr>
      </w:pPr>
      <w:r>
        <w:rPr>
          <w:rFonts w:hint="eastAsia" w:ascii="宋体" w:hAnsi="宋体" w:eastAsia="宋体" w:cs="宋体"/>
          <w:sz w:val="44"/>
          <w:szCs w:val="44"/>
        </w:rPr>
        <w:t>车用尿素溶液产品质量监督抽查实施细则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适用范围</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本方案适用于</w:t>
      </w:r>
      <w:r>
        <w:rPr>
          <w:rFonts w:hint="eastAsia" w:ascii="仿宋_GB2312" w:hAnsi="仿宋_GB2312" w:eastAsia="仿宋_GB2312" w:cs="仿宋_GB2312"/>
          <w:sz w:val="32"/>
          <w:szCs w:val="32"/>
          <w:lang w:eastAsia="zh-CN"/>
        </w:rPr>
        <w:t>六安</w:t>
      </w:r>
      <w:r>
        <w:rPr>
          <w:rFonts w:hint="eastAsia" w:ascii="仿宋_GB2312" w:hAnsi="仿宋_GB2312" w:eastAsia="仿宋_GB2312" w:cs="仿宋_GB2312"/>
          <w:sz w:val="32"/>
          <w:szCs w:val="32"/>
        </w:rPr>
        <w:t>市市场监督管理部门组织的生产领域和流通领域车用尿素溶液产品质量监督抽查。本方案内容包括商品品种、检验依据、抽样、检验项目、判定原则、异议处理、附则。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商品品种</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商品品种：柴油发动机氮氧化物还原剂 尿素水溶液(AUS 32)</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检验依据</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下列及表1中文件凡是注明日期的，其随后所有的修改单或修订版均不适用于本方案。凡是不注明日期的，其最新版本适用于本方案。</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GB 29518  柴油发动机氮氧化物还原剂 尿素水溶液(AUS 32)</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抽样</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4.1抽样方法</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车用尿素溶液产品以桶装形式出售，取桶装样品即可。</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4.2抽样数量</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每批样品取1 桶×2份（每桶至少2升样品），一份作为检验样品，一份作为留样，留样保存在承检机构或依市场监管局意见留存。</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4.3样品处置</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4.3.1样品抽取后应用封条加封，封样时应当有防拆封措施，以保证样品的真实性。检验用样品及备用(复检)样品应分别封样，并寄、送至指定的检验机构相关部门。</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样品到达检验机构后,接收人负责检查、记录样品的外观、状态、封样单有无破损及其他可能对检测结果或者综合判定产生影响的情况，并确认样品与抽样单的记录是否相符，对检验和备用样品分别加贴标识后保存。</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4.4抽样单</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领域为生产和流通领域，抽样时需至少两人同行，抽样前应主动出示工作文件或监督抽查通知书和有效身份证件，抽样时要认真填写抽样单，抽样人员和被检单位负责人在抽样单上签字认可或加盖公章，样品须当场贴上加盖抽样单位公章的封条。</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检验项目</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检测项目及重要程度分类见表1。</w:t>
      </w:r>
    </w:p>
    <w:p>
      <w:pPr>
        <w:keepNext w:val="0"/>
        <w:keepLines w:val="0"/>
        <w:pageBreakBefore w:val="0"/>
        <w:widowControl/>
        <w:kinsoku/>
        <w:wordWrap/>
        <w:overflowPunct/>
        <w:topLinePunct w:val="0"/>
        <w:autoSpaceDE/>
        <w:autoSpaceDN/>
        <w:bidi w:val="0"/>
        <w:adjustRightInd w:val="0"/>
        <w:snapToGrid w:val="0"/>
        <w:spacing w:after="0" w:line="520" w:lineRule="exact"/>
        <w:ind w:right="0" w:rightChars="0"/>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表1 柴油发动机氮氧化物还原剂 尿素水溶液(AUS 32)</w:t>
      </w:r>
    </w:p>
    <w:bookmarkEnd w:id="0"/>
    <w:tbl>
      <w:tblPr>
        <w:tblStyle w:val="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73"/>
        <w:gridCol w:w="1208"/>
        <w:gridCol w:w="1961"/>
        <w:gridCol w:w="1309"/>
        <w:gridCol w:w="1553"/>
        <w:gridCol w:w="873"/>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blHeader/>
          <w:jc w:val="center"/>
        </w:trPr>
        <w:tc>
          <w:tcPr>
            <w:tcW w:w="526" w:type="dxa"/>
            <w:vMerge w:val="restart"/>
            <w:tcBorders>
              <w:top w:val="single" w:color="auto" w:sz="4" w:space="0"/>
              <w:left w:val="single" w:color="auto" w:sz="4" w:space="0"/>
              <w:right w:val="single" w:color="auto" w:sz="4" w:space="0"/>
            </w:tcBorders>
            <w:vAlign w:val="center"/>
          </w:tcPr>
          <w:p>
            <w:pPr>
              <w:adjustRightInd w:val="0"/>
              <w:snapToGrid w:val="0"/>
              <w:jc w:val="both"/>
              <w:rPr>
                <w:rFonts w:hint="eastAsia" w:ascii="宋体" w:hAnsi="宋体" w:cs="宋体"/>
                <w:szCs w:val="21"/>
              </w:rPr>
            </w:pPr>
            <w:r>
              <w:rPr>
                <w:rFonts w:hint="eastAsia" w:ascii="宋体" w:hAnsi="宋体" w:cs="宋体"/>
                <w:szCs w:val="21"/>
              </w:rPr>
              <w:t>序号</w:t>
            </w:r>
          </w:p>
        </w:tc>
        <w:tc>
          <w:tcPr>
            <w:tcW w:w="2281" w:type="dxa"/>
            <w:gridSpan w:val="2"/>
            <w:vMerge w:val="restart"/>
            <w:tcBorders>
              <w:top w:val="single" w:color="auto" w:sz="4" w:space="0"/>
              <w:left w:val="single" w:color="auto" w:sz="4" w:space="0"/>
              <w:right w:val="single" w:color="auto" w:sz="4" w:space="0"/>
            </w:tcBorders>
            <w:vAlign w:val="center"/>
          </w:tcPr>
          <w:p>
            <w:pPr>
              <w:adjustRightInd w:val="0"/>
              <w:snapToGrid w:val="0"/>
              <w:jc w:val="both"/>
              <w:rPr>
                <w:rFonts w:hint="eastAsia" w:ascii="宋体" w:hAnsi="宋体" w:cs="宋体"/>
                <w:szCs w:val="21"/>
              </w:rPr>
            </w:pPr>
            <w:r>
              <w:rPr>
                <w:rFonts w:hint="eastAsia" w:ascii="宋体" w:hAnsi="宋体" w:cs="宋体"/>
                <w:szCs w:val="21"/>
              </w:rPr>
              <w:t>检验项目</w:t>
            </w:r>
          </w:p>
        </w:tc>
        <w:tc>
          <w:tcPr>
            <w:tcW w:w="1961" w:type="dxa"/>
            <w:vMerge w:val="restart"/>
            <w:tcBorders>
              <w:top w:val="single" w:color="auto" w:sz="4" w:space="0"/>
              <w:left w:val="single" w:color="auto" w:sz="4" w:space="0"/>
              <w:right w:val="single" w:color="auto" w:sz="4" w:space="0"/>
            </w:tcBorders>
            <w:vAlign w:val="center"/>
          </w:tcPr>
          <w:p>
            <w:pPr>
              <w:snapToGrid w:val="0"/>
              <w:jc w:val="both"/>
              <w:rPr>
                <w:rFonts w:hint="eastAsia" w:ascii="宋体" w:hAnsi="宋体" w:cs="宋体"/>
                <w:szCs w:val="21"/>
              </w:rPr>
            </w:pPr>
            <w:r>
              <w:rPr>
                <w:rFonts w:hint="eastAsia" w:ascii="宋体" w:hAnsi="宋体" w:cs="宋体"/>
                <w:kern w:val="0"/>
                <w:szCs w:val="21"/>
              </w:rPr>
              <w:t>依据法律法规或标准条款</w:t>
            </w:r>
          </w:p>
        </w:tc>
        <w:tc>
          <w:tcPr>
            <w:tcW w:w="1309" w:type="dxa"/>
            <w:vMerge w:val="restart"/>
            <w:tcBorders>
              <w:top w:val="single" w:color="auto" w:sz="4" w:space="0"/>
              <w:left w:val="single" w:color="auto" w:sz="4" w:space="0"/>
              <w:right w:val="single" w:color="auto" w:sz="4" w:space="0"/>
            </w:tcBorders>
            <w:vAlign w:val="center"/>
          </w:tcPr>
          <w:p>
            <w:pPr>
              <w:adjustRightInd w:val="0"/>
              <w:snapToGrid w:val="0"/>
              <w:jc w:val="both"/>
              <w:rPr>
                <w:rFonts w:hint="eastAsia" w:ascii="宋体" w:hAnsi="宋体" w:cs="宋体"/>
                <w:szCs w:val="21"/>
              </w:rPr>
            </w:pPr>
            <w:r>
              <w:rPr>
                <w:rFonts w:hint="eastAsia" w:ascii="宋体" w:hAnsi="宋体" w:cs="宋体"/>
                <w:szCs w:val="21"/>
              </w:rPr>
              <w:t>强制性/推荐性</w:t>
            </w:r>
          </w:p>
        </w:tc>
        <w:tc>
          <w:tcPr>
            <w:tcW w:w="1553" w:type="dxa"/>
            <w:vMerge w:val="restart"/>
            <w:tcBorders>
              <w:top w:val="single" w:color="auto" w:sz="4" w:space="0"/>
              <w:left w:val="single" w:color="auto" w:sz="4" w:space="0"/>
              <w:right w:val="single" w:color="auto" w:sz="4" w:space="0"/>
            </w:tcBorders>
            <w:vAlign w:val="center"/>
          </w:tcPr>
          <w:p>
            <w:pPr>
              <w:adjustRightInd w:val="0"/>
              <w:snapToGrid w:val="0"/>
              <w:jc w:val="both"/>
              <w:rPr>
                <w:rFonts w:hint="eastAsia" w:ascii="宋体" w:hAnsi="宋体" w:cs="宋体"/>
                <w:szCs w:val="21"/>
              </w:rPr>
            </w:pPr>
            <w:r>
              <w:rPr>
                <w:rFonts w:hint="eastAsia" w:ascii="宋体" w:hAnsi="宋体" w:cs="宋体"/>
                <w:szCs w:val="21"/>
              </w:rPr>
              <w:t>检验方法标准</w:t>
            </w:r>
          </w:p>
        </w:tc>
        <w:tc>
          <w:tcPr>
            <w:tcW w:w="1658" w:type="dxa"/>
            <w:gridSpan w:val="2"/>
            <w:tcBorders>
              <w:top w:val="single" w:color="auto" w:sz="4" w:space="0"/>
              <w:left w:val="single" w:color="auto" w:sz="4" w:space="0"/>
              <w:bottom w:val="single" w:color="auto" w:sz="4" w:space="0"/>
              <w:right w:val="single" w:color="auto" w:sz="4" w:space="0"/>
            </w:tcBorders>
            <w:vAlign w:val="top"/>
          </w:tcPr>
          <w:p>
            <w:pPr>
              <w:snapToGrid w:val="0"/>
              <w:jc w:val="both"/>
              <w:rPr>
                <w:rFonts w:hint="eastAsia" w:ascii="宋体" w:hAnsi="宋体" w:cs="宋体"/>
                <w:kern w:val="0"/>
                <w:szCs w:val="21"/>
              </w:rPr>
            </w:pPr>
            <w:r>
              <w:rPr>
                <w:rFonts w:hint="eastAsia" w:ascii="宋体" w:hAnsi="宋体" w:cs="宋体"/>
                <w:kern w:val="0"/>
                <w:szCs w:val="21"/>
              </w:rPr>
              <w:t>重要程度</w:t>
            </w:r>
          </w:p>
          <w:p>
            <w:pPr>
              <w:adjustRightInd w:val="0"/>
              <w:snapToGrid w:val="0"/>
              <w:jc w:val="both"/>
              <w:rPr>
                <w:rFonts w:hint="eastAsia" w:ascii="宋体" w:hAnsi="宋体" w:cs="宋体"/>
                <w:szCs w:val="21"/>
              </w:rPr>
            </w:pPr>
            <w:r>
              <w:rPr>
                <w:rFonts w:hint="eastAsia" w:ascii="宋体" w:hAnsi="宋体" w:cs="宋体"/>
                <w:kern w:val="0"/>
                <w:szCs w:val="21"/>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blHeader/>
          <w:jc w:val="center"/>
        </w:trPr>
        <w:tc>
          <w:tcPr>
            <w:tcW w:w="526" w:type="dxa"/>
            <w:vMerge w:val="continue"/>
            <w:tcBorders>
              <w:left w:val="single" w:color="auto" w:sz="4" w:space="0"/>
              <w:bottom w:val="single" w:color="auto" w:sz="4" w:space="0"/>
              <w:right w:val="single" w:color="auto" w:sz="4" w:space="0"/>
            </w:tcBorders>
            <w:vAlign w:val="center"/>
          </w:tcPr>
          <w:p>
            <w:pPr>
              <w:adjustRightInd w:val="0"/>
              <w:snapToGrid w:val="0"/>
              <w:jc w:val="both"/>
              <w:rPr>
                <w:rFonts w:hint="eastAsia" w:ascii="宋体" w:hAnsi="宋体" w:cs="宋体"/>
                <w:szCs w:val="21"/>
              </w:rPr>
            </w:pPr>
          </w:p>
        </w:tc>
        <w:tc>
          <w:tcPr>
            <w:tcW w:w="2281" w:type="dxa"/>
            <w:gridSpan w:val="2"/>
            <w:vMerge w:val="continue"/>
            <w:tcBorders>
              <w:left w:val="single" w:color="auto" w:sz="4" w:space="0"/>
              <w:bottom w:val="single" w:color="auto" w:sz="4" w:space="0"/>
              <w:right w:val="single" w:color="auto" w:sz="4" w:space="0"/>
            </w:tcBorders>
            <w:vAlign w:val="center"/>
          </w:tcPr>
          <w:p>
            <w:pPr>
              <w:adjustRightInd w:val="0"/>
              <w:snapToGrid w:val="0"/>
              <w:jc w:val="both"/>
              <w:rPr>
                <w:rFonts w:hint="eastAsia" w:ascii="宋体" w:hAnsi="宋体" w:cs="宋体"/>
                <w:szCs w:val="21"/>
              </w:rPr>
            </w:pPr>
          </w:p>
        </w:tc>
        <w:tc>
          <w:tcPr>
            <w:tcW w:w="1961" w:type="dxa"/>
            <w:vMerge w:val="continue"/>
            <w:tcBorders>
              <w:left w:val="single" w:color="auto" w:sz="4" w:space="0"/>
              <w:bottom w:val="single" w:color="auto" w:sz="4" w:space="0"/>
              <w:right w:val="single" w:color="auto" w:sz="4" w:space="0"/>
            </w:tcBorders>
            <w:vAlign w:val="center"/>
          </w:tcPr>
          <w:p>
            <w:pPr>
              <w:snapToGrid w:val="0"/>
              <w:jc w:val="both"/>
              <w:rPr>
                <w:rFonts w:hint="eastAsia" w:ascii="宋体" w:hAnsi="宋体" w:cs="宋体"/>
                <w:kern w:val="0"/>
                <w:szCs w:val="21"/>
              </w:rPr>
            </w:pPr>
          </w:p>
        </w:tc>
        <w:tc>
          <w:tcPr>
            <w:tcW w:w="1309" w:type="dxa"/>
            <w:vMerge w:val="continue"/>
            <w:tcBorders>
              <w:left w:val="single" w:color="auto" w:sz="4" w:space="0"/>
              <w:bottom w:val="single" w:color="auto" w:sz="4" w:space="0"/>
              <w:right w:val="single" w:color="auto" w:sz="4" w:space="0"/>
            </w:tcBorders>
            <w:vAlign w:val="center"/>
          </w:tcPr>
          <w:p>
            <w:pPr>
              <w:adjustRightInd w:val="0"/>
              <w:snapToGrid w:val="0"/>
              <w:jc w:val="both"/>
              <w:rPr>
                <w:rFonts w:hint="eastAsia" w:ascii="宋体" w:hAnsi="宋体" w:cs="宋体"/>
                <w:szCs w:val="21"/>
              </w:rPr>
            </w:pPr>
          </w:p>
        </w:tc>
        <w:tc>
          <w:tcPr>
            <w:tcW w:w="1553" w:type="dxa"/>
            <w:vMerge w:val="continue"/>
            <w:tcBorders>
              <w:left w:val="single" w:color="auto" w:sz="4" w:space="0"/>
              <w:bottom w:val="single" w:color="auto" w:sz="4" w:space="0"/>
              <w:right w:val="single" w:color="auto" w:sz="4" w:space="0"/>
            </w:tcBorders>
            <w:vAlign w:val="center"/>
          </w:tcPr>
          <w:p>
            <w:pPr>
              <w:adjustRightInd w:val="0"/>
              <w:snapToGrid w:val="0"/>
              <w:jc w:val="both"/>
              <w:rPr>
                <w:rFonts w:hint="eastAsia" w:ascii="宋体" w:hAnsi="宋体" w:cs="宋体"/>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cs="宋体"/>
                <w:kern w:val="0"/>
                <w:szCs w:val="21"/>
              </w:rPr>
            </w:pPr>
            <w:r>
              <w:rPr>
                <w:rFonts w:hint="eastAsia" w:ascii="宋体" w:hAnsi="宋体" w:cs="宋体"/>
                <w:kern w:val="0"/>
                <w:szCs w:val="21"/>
              </w:rPr>
              <w:t>A类</w:t>
            </w:r>
            <w:r>
              <w:rPr>
                <w:rFonts w:hint="eastAsia" w:ascii="宋体" w:hAnsi="宋体" w:cs="宋体"/>
                <w:kern w:val="0"/>
                <w:szCs w:val="21"/>
                <w:vertAlign w:val="superscript"/>
              </w:rPr>
              <w:t>a</w:t>
            </w:r>
          </w:p>
        </w:tc>
        <w:tc>
          <w:tcPr>
            <w:tcW w:w="785" w:type="dxa"/>
            <w:tcBorders>
              <w:left w:val="single" w:color="auto" w:sz="4" w:space="0"/>
              <w:bottom w:val="single" w:color="auto" w:sz="4" w:space="0"/>
              <w:right w:val="single" w:color="auto" w:sz="4" w:space="0"/>
            </w:tcBorders>
            <w:vAlign w:val="center"/>
          </w:tcPr>
          <w:p>
            <w:pPr>
              <w:snapToGrid w:val="0"/>
              <w:jc w:val="both"/>
              <w:rPr>
                <w:rFonts w:hint="eastAsia" w:ascii="宋体" w:hAnsi="宋体" w:cs="宋体"/>
                <w:kern w:val="0"/>
                <w:szCs w:val="21"/>
              </w:rPr>
            </w:pPr>
            <w:r>
              <w:rPr>
                <w:rFonts w:hint="eastAsia" w:ascii="宋体" w:hAnsi="宋体" w:cs="宋体"/>
                <w:kern w:val="0"/>
                <w:szCs w:val="21"/>
              </w:rPr>
              <w:t>B类</w:t>
            </w:r>
            <w:r>
              <w:rPr>
                <w:rFonts w:hint="eastAsia" w:ascii="宋体" w:hAnsi="宋体" w:cs="宋体"/>
                <w:kern w:val="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1</w:t>
            </w:r>
          </w:p>
        </w:tc>
        <w:tc>
          <w:tcPr>
            <w:tcW w:w="22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sz w:val="22"/>
                <w:szCs w:val="22"/>
                <w:vertAlign w:val="subscript"/>
              </w:rPr>
            </w:pPr>
            <w:r>
              <w:rPr>
                <w:rFonts w:hint="eastAsia" w:ascii="宋体" w:hAnsi="宋体" w:eastAsia="宋体" w:cs="宋体"/>
                <w:color w:val="000000"/>
                <w:sz w:val="22"/>
                <w:szCs w:val="22"/>
              </w:rPr>
              <w:t>尿素含量（质量分数）</w:t>
            </w:r>
          </w:p>
        </w:tc>
        <w:tc>
          <w:tcPr>
            <w:tcW w:w="1961"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kern w:val="0"/>
                <w:sz w:val="22"/>
                <w:szCs w:val="22"/>
              </w:rPr>
            </w:pPr>
            <w:r>
              <w:rPr>
                <w:rFonts w:hint="eastAsia" w:ascii="宋体" w:hAnsi="宋体" w:eastAsia="宋体" w:cs="宋体"/>
                <w:kern w:val="0"/>
                <w:sz w:val="22"/>
                <w:szCs w:val="22"/>
              </w:rPr>
              <w:t>GB 29518-2013</w:t>
            </w:r>
          </w:p>
        </w:tc>
        <w:tc>
          <w:tcPr>
            <w:tcW w:w="130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2"/>
                <w:szCs w:val="22"/>
              </w:rPr>
            </w:pPr>
            <w:r>
              <w:rPr>
                <w:rFonts w:hint="eastAsia" w:ascii="宋体" w:hAnsi="宋体" w:eastAsia="宋体" w:cs="宋体"/>
                <w:color w:val="000000"/>
                <w:sz w:val="22"/>
                <w:szCs w:val="22"/>
              </w:rPr>
              <w:t>GB 29518</w:t>
            </w:r>
          </w:p>
          <w:p>
            <w:pPr>
              <w:jc w:val="both"/>
              <w:rPr>
                <w:rFonts w:hint="eastAsia" w:ascii="宋体" w:hAnsi="宋体" w:eastAsia="宋体" w:cs="宋体"/>
                <w:color w:val="000000"/>
                <w:sz w:val="22"/>
                <w:szCs w:val="22"/>
              </w:rPr>
            </w:pPr>
            <w:r>
              <w:rPr>
                <w:rFonts w:hint="eastAsia" w:ascii="宋体" w:hAnsi="宋体" w:eastAsia="宋体" w:cs="宋体"/>
                <w:color w:val="000000"/>
                <w:sz w:val="22"/>
                <w:szCs w:val="22"/>
              </w:rPr>
              <w:t>附录A</w:t>
            </w: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2</w:t>
            </w:r>
          </w:p>
        </w:tc>
        <w:tc>
          <w:tcPr>
            <w:tcW w:w="22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sz w:val="22"/>
                <w:szCs w:val="22"/>
                <w:vertAlign w:val="subscript"/>
              </w:rPr>
            </w:pPr>
            <w:r>
              <w:rPr>
                <w:rFonts w:hint="eastAsia" w:ascii="宋体" w:hAnsi="宋体" w:eastAsia="宋体" w:cs="宋体"/>
                <w:color w:val="000000"/>
                <w:sz w:val="22"/>
                <w:szCs w:val="22"/>
              </w:rPr>
              <w:t>密度（20℃）</w:t>
            </w:r>
          </w:p>
        </w:tc>
        <w:tc>
          <w:tcPr>
            <w:tcW w:w="1961"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kern w:val="0"/>
                <w:sz w:val="22"/>
                <w:szCs w:val="22"/>
              </w:rPr>
            </w:pPr>
            <w:r>
              <w:rPr>
                <w:rFonts w:hint="eastAsia" w:ascii="宋体" w:hAnsi="宋体" w:eastAsia="宋体" w:cs="宋体"/>
                <w:kern w:val="0"/>
                <w:sz w:val="22"/>
                <w:szCs w:val="22"/>
              </w:rPr>
              <w:t>GB 29518-2013</w:t>
            </w:r>
          </w:p>
        </w:tc>
        <w:tc>
          <w:tcPr>
            <w:tcW w:w="130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2"/>
                <w:szCs w:val="22"/>
              </w:rPr>
            </w:pPr>
            <w:r>
              <w:rPr>
                <w:rFonts w:hint="eastAsia" w:ascii="宋体" w:hAnsi="宋体" w:eastAsia="宋体" w:cs="宋体"/>
                <w:color w:val="000000"/>
                <w:sz w:val="22"/>
                <w:szCs w:val="22"/>
              </w:rPr>
              <w:t>GB/T 1884</w:t>
            </w: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3</w:t>
            </w:r>
          </w:p>
        </w:tc>
        <w:tc>
          <w:tcPr>
            <w:tcW w:w="22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折光率</w:t>
            </w:r>
            <w:r>
              <w:rPr>
                <w:rFonts w:hint="eastAsia" w:ascii="宋体" w:hAnsi="宋体" w:eastAsia="宋体" w:cs="宋体"/>
                <w:color w:val="000000"/>
                <w:sz w:val="22"/>
                <w:szCs w:val="22"/>
                <w:vertAlign w:val="superscript"/>
              </w:rPr>
              <w:t>20</w:t>
            </w:r>
            <w:r>
              <w:rPr>
                <w:rFonts w:hint="eastAsia" w:ascii="宋体" w:hAnsi="宋体" w:eastAsia="宋体" w:cs="宋体"/>
                <w:color w:val="000000"/>
                <w:sz w:val="22"/>
                <w:szCs w:val="22"/>
              </w:rPr>
              <w:t>n</w:t>
            </w:r>
            <w:r>
              <w:rPr>
                <w:rFonts w:hint="eastAsia" w:ascii="宋体" w:hAnsi="宋体" w:eastAsia="宋体" w:cs="宋体"/>
                <w:color w:val="000000"/>
                <w:sz w:val="22"/>
                <w:szCs w:val="22"/>
                <w:vertAlign w:val="subscript"/>
              </w:rPr>
              <w:t>D</w:t>
            </w:r>
          </w:p>
        </w:tc>
        <w:tc>
          <w:tcPr>
            <w:tcW w:w="1961"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kern w:val="0"/>
                <w:sz w:val="22"/>
                <w:szCs w:val="22"/>
              </w:rPr>
            </w:pPr>
            <w:r>
              <w:rPr>
                <w:rFonts w:hint="eastAsia" w:ascii="宋体" w:hAnsi="宋体" w:eastAsia="宋体" w:cs="宋体"/>
                <w:kern w:val="0"/>
                <w:sz w:val="22"/>
                <w:szCs w:val="22"/>
              </w:rPr>
              <w:t>GB 29518-2013</w:t>
            </w:r>
          </w:p>
        </w:tc>
        <w:tc>
          <w:tcPr>
            <w:tcW w:w="130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2"/>
                <w:szCs w:val="22"/>
              </w:rPr>
            </w:pPr>
            <w:r>
              <w:rPr>
                <w:rFonts w:hint="eastAsia" w:ascii="宋体" w:hAnsi="宋体" w:eastAsia="宋体" w:cs="宋体"/>
                <w:color w:val="000000"/>
                <w:sz w:val="22"/>
                <w:szCs w:val="22"/>
              </w:rPr>
              <w:t>GB/T 614</w:t>
            </w: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26" w:type="dxa"/>
            <w:vMerge w:val="restart"/>
            <w:tcBorders>
              <w:top w:val="single" w:color="auto" w:sz="4" w:space="0"/>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4</w:t>
            </w:r>
          </w:p>
        </w:tc>
        <w:tc>
          <w:tcPr>
            <w:tcW w:w="1073" w:type="dxa"/>
            <w:vMerge w:val="restart"/>
            <w:tcBorders>
              <w:top w:val="single" w:color="auto" w:sz="4" w:space="0"/>
              <w:left w:val="single" w:color="auto" w:sz="4" w:space="0"/>
              <w:right w:val="single" w:color="auto" w:sz="4" w:space="0"/>
            </w:tcBorders>
            <w:vAlign w:val="center"/>
          </w:tcPr>
          <w:p>
            <w:pPr>
              <w:jc w:val="both"/>
              <w:rPr>
                <w:rFonts w:hint="eastAsia" w:ascii="宋体" w:hAnsi="宋体" w:eastAsia="宋体" w:cs="宋体"/>
                <w:color w:val="000000"/>
                <w:sz w:val="22"/>
                <w:szCs w:val="22"/>
              </w:rPr>
            </w:pPr>
            <w:r>
              <w:rPr>
                <w:rFonts w:hint="eastAsia" w:ascii="宋体" w:hAnsi="宋体" w:eastAsia="宋体" w:cs="宋体"/>
                <w:color w:val="000000"/>
                <w:sz w:val="22"/>
                <w:szCs w:val="22"/>
              </w:rPr>
              <w:t>杂质含量</w:t>
            </w:r>
          </w:p>
        </w:tc>
        <w:tc>
          <w:tcPr>
            <w:tcW w:w="12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2"/>
                <w:szCs w:val="22"/>
              </w:rPr>
            </w:pPr>
            <w:r>
              <w:rPr>
                <w:rFonts w:hint="eastAsia" w:ascii="宋体" w:hAnsi="宋体" w:eastAsia="宋体" w:cs="宋体"/>
                <w:color w:val="000000"/>
                <w:sz w:val="22"/>
                <w:szCs w:val="22"/>
              </w:rPr>
              <w:t>缩二脲（质量分数）</w:t>
            </w:r>
          </w:p>
        </w:tc>
        <w:tc>
          <w:tcPr>
            <w:tcW w:w="1961" w:type="dxa"/>
            <w:vMerge w:val="restart"/>
            <w:tcBorders>
              <w:top w:val="single" w:color="auto" w:sz="4" w:space="0"/>
              <w:left w:val="single" w:color="auto" w:sz="4" w:space="0"/>
              <w:right w:val="single" w:color="auto" w:sz="4" w:space="0"/>
            </w:tcBorders>
            <w:vAlign w:val="center"/>
          </w:tcPr>
          <w:p>
            <w:pPr>
              <w:jc w:val="both"/>
              <w:rPr>
                <w:rFonts w:hint="eastAsia" w:ascii="宋体" w:hAnsi="宋体" w:eastAsia="宋体" w:cs="宋体"/>
                <w:kern w:val="0"/>
                <w:sz w:val="22"/>
                <w:szCs w:val="22"/>
              </w:rPr>
            </w:pPr>
            <w:r>
              <w:rPr>
                <w:rFonts w:hint="eastAsia" w:ascii="宋体" w:hAnsi="宋体" w:eastAsia="宋体" w:cs="宋体"/>
                <w:kern w:val="0"/>
                <w:sz w:val="22"/>
                <w:szCs w:val="22"/>
              </w:rPr>
              <w:t>GB 29518-2013</w:t>
            </w:r>
          </w:p>
        </w:tc>
        <w:tc>
          <w:tcPr>
            <w:tcW w:w="1309" w:type="dxa"/>
            <w:vMerge w:val="restart"/>
            <w:tcBorders>
              <w:top w:val="single" w:color="auto" w:sz="4" w:space="0"/>
              <w:left w:val="single" w:color="auto" w:sz="4" w:space="0"/>
              <w:right w:val="single" w:color="auto" w:sz="4" w:space="0"/>
            </w:tcBorders>
            <w:vAlign w:val="center"/>
          </w:tcPr>
          <w:p>
            <w:pPr>
              <w:jc w:val="both"/>
              <w:rPr>
                <w:rFonts w:hint="eastAsia" w:ascii="宋体" w:hAnsi="宋体" w:eastAsia="宋体" w:cs="宋体"/>
                <w:color w:val="000000"/>
                <w:sz w:val="22"/>
                <w:szCs w:val="22"/>
              </w:rPr>
            </w:pPr>
            <w:r>
              <w:rPr>
                <w:rFonts w:hint="eastAsia" w:ascii="宋体" w:hAnsi="宋体" w:eastAsia="宋体" w:cs="宋体"/>
                <w:sz w:val="22"/>
                <w:szCs w:val="22"/>
              </w:rPr>
              <w:t>强制性</w:t>
            </w:r>
          </w:p>
        </w:tc>
        <w:tc>
          <w:tcPr>
            <w:tcW w:w="1553" w:type="dxa"/>
            <w:vMerge w:val="restart"/>
            <w:tcBorders>
              <w:top w:val="single" w:color="auto" w:sz="4" w:space="0"/>
              <w:left w:val="single" w:color="auto" w:sz="4" w:space="0"/>
              <w:right w:val="single" w:color="auto" w:sz="4" w:space="0"/>
            </w:tcBorders>
            <w:vAlign w:val="center"/>
          </w:tcPr>
          <w:p>
            <w:pPr>
              <w:snapToGrid w:val="0"/>
              <w:jc w:val="both"/>
              <w:rPr>
                <w:rFonts w:hint="eastAsia" w:ascii="宋体" w:hAnsi="宋体" w:eastAsia="宋体" w:cs="宋体"/>
                <w:color w:val="000000"/>
                <w:sz w:val="22"/>
                <w:szCs w:val="22"/>
              </w:rPr>
            </w:pPr>
            <w:r>
              <w:rPr>
                <w:rFonts w:hint="eastAsia" w:ascii="宋体" w:hAnsi="宋体" w:eastAsia="宋体" w:cs="宋体"/>
                <w:color w:val="000000"/>
                <w:sz w:val="22"/>
                <w:szCs w:val="22"/>
              </w:rPr>
              <w:t>GB 29518</w:t>
            </w:r>
          </w:p>
          <w:p>
            <w:pPr>
              <w:snapToGrid w:val="0"/>
              <w:jc w:val="both"/>
              <w:rPr>
                <w:rFonts w:hint="eastAsia" w:ascii="宋体" w:hAnsi="宋体" w:eastAsia="宋体" w:cs="宋体"/>
                <w:color w:val="000000"/>
                <w:sz w:val="22"/>
                <w:szCs w:val="22"/>
              </w:rPr>
            </w:pPr>
            <w:r>
              <w:rPr>
                <w:rFonts w:hint="eastAsia" w:ascii="宋体" w:hAnsi="宋体" w:eastAsia="宋体" w:cs="宋体"/>
                <w:color w:val="000000"/>
                <w:sz w:val="22"/>
                <w:szCs w:val="22"/>
              </w:rPr>
              <w:t>附录C</w:t>
            </w:r>
          </w:p>
          <w:p>
            <w:pPr>
              <w:snapToGrid w:val="0"/>
              <w:jc w:val="both"/>
              <w:rPr>
                <w:rFonts w:hint="eastAsia" w:ascii="宋体" w:hAnsi="宋体" w:eastAsia="宋体" w:cs="宋体"/>
                <w:color w:val="000000"/>
                <w:sz w:val="22"/>
                <w:szCs w:val="22"/>
              </w:rPr>
            </w:pPr>
          </w:p>
          <w:p>
            <w:pPr>
              <w:snapToGrid w:val="0"/>
              <w:jc w:val="both"/>
              <w:rPr>
                <w:rFonts w:hint="eastAsia" w:ascii="宋体" w:hAnsi="宋体" w:eastAsia="宋体" w:cs="宋体"/>
                <w:color w:val="000000"/>
                <w:sz w:val="22"/>
                <w:szCs w:val="22"/>
              </w:rPr>
            </w:pPr>
            <w:r>
              <w:rPr>
                <w:rFonts w:hint="eastAsia" w:ascii="宋体" w:hAnsi="宋体" w:eastAsia="宋体" w:cs="宋体"/>
                <w:color w:val="000000"/>
                <w:sz w:val="22"/>
                <w:szCs w:val="22"/>
              </w:rPr>
              <w:t>GB 29518</w:t>
            </w:r>
          </w:p>
          <w:p>
            <w:pPr>
              <w:snapToGrid w:val="0"/>
              <w:jc w:val="both"/>
              <w:rPr>
                <w:rFonts w:hint="eastAsia" w:ascii="宋体" w:hAnsi="宋体" w:eastAsia="宋体" w:cs="宋体"/>
                <w:color w:val="000000"/>
                <w:sz w:val="22"/>
                <w:szCs w:val="22"/>
              </w:rPr>
            </w:pPr>
            <w:r>
              <w:rPr>
                <w:rFonts w:hint="eastAsia" w:ascii="宋体" w:hAnsi="宋体" w:eastAsia="宋体" w:cs="宋体"/>
                <w:color w:val="000000"/>
                <w:sz w:val="22"/>
                <w:szCs w:val="22"/>
              </w:rPr>
              <w:t>附录G G.2.b</w:t>
            </w:r>
          </w:p>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526" w:type="dxa"/>
            <w:vMerge w:val="continue"/>
            <w:tcBorders>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钙</w:t>
            </w:r>
          </w:p>
        </w:tc>
        <w:tc>
          <w:tcPr>
            <w:tcW w:w="1961" w:type="dxa"/>
            <w:vMerge w:val="continue"/>
            <w:tcBorders>
              <w:left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1553"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26" w:type="dxa"/>
            <w:vMerge w:val="continue"/>
            <w:tcBorders>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铁</w:t>
            </w:r>
          </w:p>
        </w:tc>
        <w:tc>
          <w:tcPr>
            <w:tcW w:w="1961" w:type="dxa"/>
            <w:vMerge w:val="continue"/>
            <w:tcBorders>
              <w:left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1553"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26" w:type="dxa"/>
            <w:vMerge w:val="continue"/>
            <w:tcBorders>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铜</w:t>
            </w:r>
          </w:p>
        </w:tc>
        <w:tc>
          <w:tcPr>
            <w:tcW w:w="1961" w:type="dxa"/>
            <w:vMerge w:val="continue"/>
            <w:tcBorders>
              <w:left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1553"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26" w:type="dxa"/>
            <w:vMerge w:val="continue"/>
            <w:tcBorders>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锌</w:t>
            </w:r>
          </w:p>
        </w:tc>
        <w:tc>
          <w:tcPr>
            <w:tcW w:w="1961" w:type="dxa"/>
            <w:vMerge w:val="continue"/>
            <w:tcBorders>
              <w:left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1553"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26" w:type="dxa"/>
            <w:vMerge w:val="continue"/>
            <w:tcBorders>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铬</w:t>
            </w:r>
          </w:p>
        </w:tc>
        <w:tc>
          <w:tcPr>
            <w:tcW w:w="1961" w:type="dxa"/>
            <w:vMerge w:val="continue"/>
            <w:tcBorders>
              <w:left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1553"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26" w:type="dxa"/>
            <w:vMerge w:val="continue"/>
            <w:tcBorders>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镍</w:t>
            </w:r>
          </w:p>
        </w:tc>
        <w:tc>
          <w:tcPr>
            <w:tcW w:w="1961" w:type="dxa"/>
            <w:vMerge w:val="continue"/>
            <w:tcBorders>
              <w:left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1553"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526" w:type="dxa"/>
            <w:vMerge w:val="continue"/>
            <w:tcBorders>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铝</w:t>
            </w:r>
          </w:p>
        </w:tc>
        <w:tc>
          <w:tcPr>
            <w:tcW w:w="1961" w:type="dxa"/>
            <w:vMerge w:val="continue"/>
            <w:tcBorders>
              <w:left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kern w:val="0"/>
                <w:sz w:val="22"/>
                <w:szCs w:val="22"/>
                <w:lang w:val="de-DE"/>
              </w:rPr>
            </w:pPr>
          </w:p>
        </w:tc>
        <w:tc>
          <w:tcPr>
            <w:tcW w:w="1553"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color w:val="FF0000"/>
                <w:sz w:val="22"/>
                <w:szCs w:val="22"/>
                <w:lang w:val="de-DE"/>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526" w:type="dxa"/>
            <w:vMerge w:val="continue"/>
            <w:tcBorders>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镁</w:t>
            </w:r>
          </w:p>
        </w:tc>
        <w:tc>
          <w:tcPr>
            <w:tcW w:w="1961" w:type="dxa"/>
            <w:vMerge w:val="continue"/>
            <w:tcBorders>
              <w:left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1553"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26" w:type="dxa"/>
            <w:vMerge w:val="continue"/>
            <w:tcBorders>
              <w:left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钠</w:t>
            </w:r>
          </w:p>
        </w:tc>
        <w:tc>
          <w:tcPr>
            <w:tcW w:w="1961" w:type="dxa"/>
            <w:vMerge w:val="continue"/>
            <w:tcBorders>
              <w:left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1553" w:type="dxa"/>
            <w:vMerge w:val="continue"/>
            <w:tcBorders>
              <w:left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26" w:type="dxa"/>
            <w:vMerge w:val="continue"/>
            <w:tcBorders>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p>
        </w:tc>
        <w:tc>
          <w:tcPr>
            <w:tcW w:w="1073" w:type="dxa"/>
            <w:vMerge w:val="continue"/>
            <w:tcBorders>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p>
        </w:tc>
        <w:tc>
          <w:tcPr>
            <w:tcW w:w="1208" w:type="dxa"/>
            <w:tcBorders>
              <w:top w:val="single" w:color="auto" w:sz="4" w:space="0"/>
              <w:left w:val="single" w:color="auto" w:sz="4" w:space="0"/>
              <w:bottom w:val="single" w:color="auto" w:sz="4" w:space="0"/>
              <w:right w:val="single" w:color="auto" w:sz="4" w:space="0"/>
            </w:tcBorders>
            <w:vAlign w:val="bottom"/>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钾</w:t>
            </w:r>
          </w:p>
        </w:tc>
        <w:tc>
          <w:tcPr>
            <w:tcW w:w="1961" w:type="dxa"/>
            <w:vMerge w:val="continue"/>
            <w:tcBorders>
              <w:left w:val="single" w:color="auto" w:sz="4" w:space="0"/>
              <w:bottom w:val="single" w:color="auto" w:sz="4" w:space="0"/>
              <w:right w:val="single" w:color="auto" w:sz="4" w:space="0"/>
            </w:tcBorders>
            <w:vAlign w:val="center"/>
          </w:tcPr>
          <w:p>
            <w:pPr>
              <w:jc w:val="both"/>
              <w:rPr>
                <w:rFonts w:hint="eastAsia" w:ascii="宋体" w:hAnsi="宋体" w:eastAsia="宋体" w:cs="宋体"/>
                <w:kern w:val="0"/>
                <w:sz w:val="22"/>
                <w:szCs w:val="22"/>
              </w:rPr>
            </w:pPr>
          </w:p>
        </w:tc>
        <w:tc>
          <w:tcPr>
            <w:tcW w:w="1309" w:type="dxa"/>
            <w:vMerge w:val="continue"/>
            <w:tcBorders>
              <w:left w:val="single" w:color="auto" w:sz="4" w:space="0"/>
              <w:bottom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1553" w:type="dxa"/>
            <w:vMerge w:val="continue"/>
            <w:tcBorders>
              <w:left w:val="single" w:color="auto" w:sz="4" w:space="0"/>
              <w:bottom w:val="single" w:color="auto" w:sz="4" w:space="0"/>
              <w:right w:val="single" w:color="auto" w:sz="4" w:space="0"/>
            </w:tcBorders>
            <w:vAlign w:val="center"/>
          </w:tcPr>
          <w:p>
            <w:pPr>
              <w:snapToGrid w:val="0"/>
              <w:jc w:val="both"/>
              <w:rPr>
                <w:rFonts w:hint="eastAsia" w:ascii="宋体" w:hAnsi="宋体" w:eastAsia="宋体" w:cs="宋体"/>
                <w:sz w:val="22"/>
                <w:szCs w:val="22"/>
              </w:rPr>
            </w:pP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宋体" w:hAnsi="宋体" w:eastAsia="宋体" w:cs="宋体"/>
                <w:sz w:val="22"/>
                <w:szCs w:val="22"/>
              </w:rPr>
            </w:pPr>
            <w:r>
              <w:rPr>
                <w:rFonts w:hint="eastAsia" w:ascii="宋体" w:hAnsi="宋体" w:eastAsia="宋体" w:cs="宋体"/>
                <w:sz w:val="22"/>
                <w:szCs w:val="22"/>
              </w:rPr>
              <w:t>5</w:t>
            </w:r>
          </w:p>
        </w:tc>
        <w:tc>
          <w:tcPr>
            <w:tcW w:w="2281"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color w:val="000000"/>
                <w:sz w:val="22"/>
                <w:szCs w:val="22"/>
              </w:rPr>
              <w:t>一致性确认</w:t>
            </w:r>
          </w:p>
        </w:tc>
        <w:tc>
          <w:tcPr>
            <w:tcW w:w="1961"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kern w:val="0"/>
                <w:sz w:val="22"/>
                <w:szCs w:val="22"/>
              </w:rPr>
            </w:pPr>
            <w:r>
              <w:rPr>
                <w:rFonts w:hint="eastAsia" w:ascii="宋体" w:hAnsi="宋体" w:eastAsia="宋体" w:cs="宋体"/>
                <w:kern w:val="0"/>
                <w:sz w:val="22"/>
                <w:szCs w:val="22"/>
              </w:rPr>
              <w:t>GB 29518-2013</w:t>
            </w:r>
          </w:p>
        </w:tc>
        <w:tc>
          <w:tcPr>
            <w:tcW w:w="1309"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宋体"/>
                <w:sz w:val="22"/>
                <w:szCs w:val="22"/>
              </w:rPr>
            </w:pPr>
            <w:r>
              <w:rPr>
                <w:rFonts w:hint="eastAsia" w:ascii="宋体" w:hAnsi="宋体" w:eastAsia="宋体" w:cs="宋体"/>
                <w:sz w:val="22"/>
                <w:szCs w:val="22"/>
              </w:rPr>
              <w:t>强制性</w:t>
            </w:r>
          </w:p>
        </w:tc>
        <w:tc>
          <w:tcPr>
            <w:tcW w:w="155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宋体"/>
                <w:color w:val="000000"/>
                <w:sz w:val="22"/>
                <w:szCs w:val="22"/>
              </w:rPr>
            </w:pPr>
            <w:r>
              <w:rPr>
                <w:rFonts w:hint="eastAsia" w:ascii="宋体" w:hAnsi="宋体" w:eastAsia="宋体" w:cs="宋体"/>
                <w:color w:val="000000"/>
                <w:sz w:val="22"/>
                <w:szCs w:val="22"/>
              </w:rPr>
              <w:t>GB 29518</w:t>
            </w:r>
          </w:p>
          <w:p>
            <w:pPr>
              <w:snapToGrid w:val="0"/>
              <w:jc w:val="both"/>
              <w:rPr>
                <w:rFonts w:hint="eastAsia" w:ascii="宋体" w:hAnsi="宋体" w:eastAsia="宋体" w:cs="宋体"/>
                <w:sz w:val="22"/>
                <w:szCs w:val="22"/>
              </w:rPr>
            </w:pPr>
            <w:r>
              <w:rPr>
                <w:rFonts w:hint="eastAsia" w:ascii="宋体" w:hAnsi="宋体" w:eastAsia="宋体" w:cs="宋体"/>
                <w:color w:val="000000"/>
                <w:sz w:val="22"/>
                <w:szCs w:val="22"/>
              </w:rPr>
              <w:t>附录H</w:t>
            </w:r>
          </w:p>
        </w:tc>
        <w:tc>
          <w:tcPr>
            <w:tcW w:w="87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p>
        </w:tc>
        <w:tc>
          <w:tcPr>
            <w:tcW w:w="78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2"/>
                <w:szCs w:val="22"/>
              </w:rPr>
            </w:pPr>
            <w:r>
              <w:rPr>
                <w:rFonts w:hint="eastAsia" w:ascii="宋体" w:hAnsi="宋体" w:eastAsia="宋体" w:cs="宋体"/>
                <w:kern w:val="0"/>
                <w:sz w:val="22"/>
                <w:szCs w:val="22"/>
              </w:rPr>
              <w:t>●</w:t>
            </w:r>
          </w:p>
        </w:tc>
      </w:tr>
    </w:tbl>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注：a（A类）：极重要质量项目，b（B类）：重要质量项目。极重要质量项目是指直接涉及人体健康、使用安全的指标；重要质量项目是指产品涉及环保、能效、关键性能或特征值的指标。</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判定原则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6.1经检验，所抽取样品实物质量合格时，综合判定该批产品合格。检验结论：经抽样检验，所检项目符合××标准，依据××抽查实施细则，判定为合格。</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6.2经检验，所抽取样品实物质量不合格时，综合判定该批产品不合格。判定该批产品不合格。当产品存在 A 类项目不合格时，属于严重不合格；当产品存在B类项目不合格时，属于较严重不合格。检验结论：经抽样检验，××项目不符合××标准，依据××抽查实施细则，判定为不合格（属于××严重不合格）。</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异议处理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对判定不合格产品进行复检时，按以下方式进行：</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7.1被抽查单位对检验结果有异议的，可在收到报告或检验结果通知单之日起十五日内书面向组织单位提出，由组织单位负责处理。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核查不合格项目相关证据，能够以记录（纸质记录或电子记录或影像记录）、检验后缺陷特征样品、与不合格质量数据相关联的其它质量数据等检验证据证明，并得到申请复检者认可的，作出维持原检验结论的复检结论。</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7.3 需对不合格项目复检时，采用备用样品进行检验。当复检结果仍不合格，维持原检验结果不变。当复检结果合格，以复检结果为准。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附则</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本细则编制单位：皖西南产品质量监督检验中心。</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本细则由</w:t>
      </w:r>
      <w:r>
        <w:rPr>
          <w:rFonts w:hint="eastAsia" w:ascii="仿宋_GB2312" w:hAnsi="仿宋_GB2312" w:eastAsia="仿宋_GB2312" w:cs="仿宋_GB2312"/>
          <w:sz w:val="32"/>
          <w:szCs w:val="32"/>
          <w:lang w:eastAsia="zh-CN"/>
        </w:rPr>
        <w:t>六安</w:t>
      </w:r>
      <w:r>
        <w:rPr>
          <w:rFonts w:hint="eastAsia" w:ascii="仿宋_GB2312" w:hAnsi="仿宋_GB2312" w:eastAsia="仿宋_GB2312" w:cs="仿宋_GB2312"/>
          <w:sz w:val="32"/>
          <w:szCs w:val="32"/>
        </w:rPr>
        <w:t>市市场监督管理局管理。</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_5b8b_4f53">
    <w:altName w:val="Courier New"/>
    <w:panose1 w:val="00000000000000000000"/>
    <w:charset w:val="00"/>
    <w:family w:val="auto"/>
    <w:pitch w:val="default"/>
    <w:sig w:usb0="00000000" w:usb1="00000000" w:usb2="00000000" w:usb3="00000000" w:csb0="00040001" w:csb1="00000000"/>
  </w:font>
  <w:font w:name="_4eff_5b8b_GB2312">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81D84"/>
    <w:rsid w:val="44481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2021-12-31T07:39:00Z</dcterms:created>
  <dc:creator>gyb1</dc:creator>
  <cp:lastModifiedBy>gyb1</cp:lastModifiedBy>
  <dcterms:modified xsi:type="dcterms:W3CDTF">2021-12-31T07:40:13Z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